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FB" w:rsidRPr="00E726FB" w:rsidRDefault="00E726FB" w:rsidP="00E726FB">
      <w:pPr>
        <w:tabs>
          <w:tab w:val="left" w:pos="3106"/>
        </w:tabs>
        <w:spacing w:line="360" w:lineRule="auto"/>
        <w:ind w:firstLine="737"/>
        <w:jc w:val="both"/>
        <w:rPr>
          <w:rFonts w:ascii="Times New Roman" w:eastAsia="Cambria" w:hAnsi="Times New Roman" w:cs="Times New Roman"/>
          <w:b/>
          <w:bCs/>
          <w:caps/>
          <w:sz w:val="28"/>
          <w:szCs w:val="28"/>
        </w:rPr>
      </w:pPr>
      <w:r w:rsidRPr="00E726FB">
        <w:rPr>
          <w:rFonts w:ascii="Times New Roman" w:eastAsia="Cambria" w:hAnsi="Times New Roman" w:cs="Times New Roman"/>
          <w:b/>
          <w:bCs/>
          <w:caps/>
          <w:sz w:val="28"/>
          <w:szCs w:val="28"/>
        </w:rPr>
        <w:t>ПМ 0</w:t>
      </w:r>
      <w:r>
        <w:rPr>
          <w:rFonts w:ascii="Times New Roman" w:eastAsia="Cambria" w:hAnsi="Times New Roman" w:cs="Times New Roman"/>
          <w:b/>
          <w:bCs/>
          <w:caps/>
          <w:sz w:val="28"/>
          <w:szCs w:val="28"/>
        </w:rPr>
        <w:t>4</w:t>
      </w:r>
      <w:r w:rsidRPr="00E726FB">
        <w:rPr>
          <w:rFonts w:ascii="Times New Roman" w:eastAsia="Cambria" w:hAnsi="Times New Roman" w:cs="Times New Roman"/>
          <w:b/>
          <w:bCs/>
          <w:caps/>
          <w:sz w:val="28"/>
          <w:szCs w:val="28"/>
        </w:rPr>
        <w:t>. «</w:t>
      </w:r>
      <w:r>
        <w:rPr>
          <w:rFonts w:ascii="Times New Roman" w:eastAsia="Cambria" w:hAnsi="Times New Roman" w:cs="Times New Roman"/>
          <w:b/>
          <w:sz w:val="28"/>
          <w:szCs w:val="28"/>
        </w:rPr>
        <w:t>Составление и использование бухгалтерской (финансовой) отчетности</w:t>
      </w:r>
      <w:r w:rsidRPr="00E726FB">
        <w:rPr>
          <w:rFonts w:ascii="Times New Roman" w:eastAsia="Cambria" w:hAnsi="Times New Roman" w:cs="Times New Roman"/>
          <w:b/>
          <w:bCs/>
          <w:caps/>
          <w:sz w:val="28"/>
          <w:szCs w:val="28"/>
        </w:rPr>
        <w:t>»</w:t>
      </w:r>
    </w:p>
    <w:p w:rsidR="00E726FB" w:rsidRPr="00E726FB" w:rsidRDefault="00E726FB" w:rsidP="00E726FB">
      <w:pPr>
        <w:widowControl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bookmarkStart w:id="0" w:name="_GoBack"/>
      <w:bookmarkEnd w:id="0"/>
      <w:r w:rsidRPr="00E7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726FB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Pr="00E726FB">
        <w:rPr>
          <w:rFonts w:ascii="Times New Roman" w:eastAsia="Cambria" w:hAnsi="Times New Roman" w:cs="Times New Roman"/>
          <w:b/>
          <w:sz w:val="28"/>
          <w:szCs w:val="28"/>
        </w:rPr>
        <w:t>«Основы анализа бухгалтерской (финансовой) отчетности»</w:t>
      </w:r>
    </w:p>
    <w:p w:rsidR="00E726FB" w:rsidRPr="00E726FB" w:rsidRDefault="00E726FB" w:rsidP="00E726FB">
      <w:pPr>
        <w:tabs>
          <w:tab w:val="left" w:pos="3106"/>
        </w:tabs>
        <w:spacing w:line="360" w:lineRule="auto"/>
        <w:ind w:firstLine="737"/>
        <w:jc w:val="both"/>
        <w:rPr>
          <w:rFonts w:ascii="Times New Roman" w:eastAsia="Cambria" w:hAnsi="Times New Roman" w:cs="Times New Roman"/>
          <w:b/>
          <w:bCs/>
          <w:caps/>
          <w:sz w:val="28"/>
          <w:szCs w:val="28"/>
        </w:rPr>
      </w:pPr>
    </w:p>
    <w:p w:rsidR="00E726FB" w:rsidRPr="003C7286" w:rsidRDefault="00E726FB" w:rsidP="003C7286">
      <w:pPr>
        <w:widowControl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лекции: Содержание, цели, принципы, задачи и последовательность анализа финансовой отчетности</w:t>
      </w:r>
    </w:p>
    <w:p w:rsidR="00E726FB" w:rsidRPr="00E726FB" w:rsidRDefault="00E726FB" w:rsidP="00E726FB">
      <w:pPr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  <w:lang w:eastAsia="hi-IN" w:bidi="hi-IN"/>
        </w:rPr>
      </w:pPr>
    </w:p>
    <w:p w:rsidR="00E726FB" w:rsidRPr="00E726FB" w:rsidRDefault="00E726FB" w:rsidP="00E726FB">
      <w:pPr>
        <w:spacing w:line="360" w:lineRule="auto"/>
        <w:jc w:val="both"/>
        <w:rPr>
          <w:rFonts w:ascii="Times New Roman" w:eastAsia="Cambria" w:hAnsi="Times New Roman" w:cs="Times New Roman"/>
          <w:sz w:val="28"/>
          <w:szCs w:val="28"/>
          <w:shd w:val="clear" w:color="auto" w:fill="FFFFFF"/>
        </w:rPr>
      </w:pPr>
      <w:r w:rsidRPr="00E726FB">
        <w:rPr>
          <w:rFonts w:ascii="Times New Roman" w:eastAsiaTheme="minorEastAsia" w:hAnsi="Times New Roman" w:cs="Times New Roman"/>
          <w:sz w:val="28"/>
          <w:szCs w:val="28"/>
        </w:rPr>
        <w:t xml:space="preserve">Цель: освоить знания о </w:t>
      </w:r>
      <w:r w:rsidR="003C7286">
        <w:rPr>
          <w:rFonts w:ascii="Times New Roman" w:eastAsiaTheme="minorEastAsia" w:hAnsi="Times New Roman" w:cs="Times New Roman"/>
          <w:sz w:val="28"/>
          <w:szCs w:val="28"/>
        </w:rPr>
        <w:t>последовательности анализа финансовой отчетности</w:t>
      </w:r>
      <w:r w:rsidRPr="00E726FB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E726FB" w:rsidRPr="00E726FB" w:rsidRDefault="00E726FB" w:rsidP="00E726FB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6FB">
        <w:rPr>
          <w:rFonts w:ascii="Times New Roman" w:eastAsiaTheme="minorEastAsia" w:hAnsi="Times New Roman" w:cs="Times New Roman"/>
          <w:sz w:val="28"/>
          <w:szCs w:val="28"/>
        </w:rPr>
        <w:t xml:space="preserve">Задачи: </w:t>
      </w:r>
    </w:p>
    <w:p w:rsidR="00E726FB" w:rsidRPr="00E726FB" w:rsidRDefault="00E726FB" w:rsidP="00E726FB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6FB">
        <w:rPr>
          <w:rFonts w:ascii="Times New Roman" w:eastAsiaTheme="minorEastAsia" w:hAnsi="Times New Roman" w:cs="Times New Roman"/>
          <w:sz w:val="28"/>
          <w:szCs w:val="28"/>
        </w:rPr>
        <w:t xml:space="preserve">- изучить </w:t>
      </w:r>
      <w:r w:rsidR="003C7286">
        <w:rPr>
          <w:rFonts w:ascii="Times New Roman" w:eastAsiaTheme="minorEastAsia" w:hAnsi="Times New Roman" w:cs="Times New Roman"/>
          <w:sz w:val="28"/>
          <w:szCs w:val="28"/>
        </w:rPr>
        <w:t>цель анализа финансовой отчетности</w:t>
      </w:r>
      <w:r w:rsidRPr="00E726F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726FB" w:rsidRPr="00E726FB" w:rsidRDefault="00E726FB" w:rsidP="00E726FB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26FB">
        <w:rPr>
          <w:rFonts w:ascii="Times New Roman" w:eastAsiaTheme="minorEastAsia" w:hAnsi="Times New Roman" w:cs="Times New Roman"/>
          <w:sz w:val="28"/>
          <w:szCs w:val="28"/>
        </w:rPr>
        <w:t xml:space="preserve">- изучить </w:t>
      </w:r>
      <w:r w:rsidR="003C7286">
        <w:rPr>
          <w:rFonts w:ascii="Times New Roman" w:eastAsiaTheme="minorEastAsia" w:hAnsi="Times New Roman" w:cs="Times New Roman"/>
          <w:sz w:val="28"/>
          <w:szCs w:val="28"/>
        </w:rPr>
        <w:t>задачи финансовой отчетности, объекты анализа</w:t>
      </w:r>
      <w:r w:rsidRPr="00E726F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726FB" w:rsidRPr="00E726FB" w:rsidRDefault="00E726FB" w:rsidP="00E726FB">
      <w:pPr>
        <w:tabs>
          <w:tab w:val="left" w:pos="3590"/>
        </w:tabs>
        <w:spacing w:line="360" w:lineRule="auto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hi-IN" w:bidi="hi-IN"/>
        </w:rPr>
      </w:pP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Цель анализа финансовой отчетности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 – объективная оценка финансового состояния и финансовых результатов деятельности предприятия, отдельных параметров функционирования и прогнозирования отдельных показателей и финансовой деятельности в целом.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Задачи анализа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 финансовой отчетности: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оценка имущественного положения и структуры капитала: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анализ источников формирования капитала;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анализ размещения капитала.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оценка эффективности и интенсивности использования капитала: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анализ оборачиваемости капитала;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анализ рентабельности (доходности) капитала.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оценка прибыли.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оценка финансового состояния организации: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анализ финансовой устойчивости;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анализ ликвидности и платежеспособности.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оценка кредитоспособности и риска банкротства.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оценка влияния факторов внешней и внутренней среды на финансовые 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lastRenderedPageBreak/>
        <w:t>показатели деятельности.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анализ финансовой отчетности, в свою очередь, тесно связан с решением </w:t>
      </w: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стратегических задач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>, таких, как: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достижение оптимизации структуры капитала организации в сочетании с эффективным механизмом привлечения финансовых средств;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создание гибкой системы управления, способной быстро реагировать на меняющуюся конъюнктуру рынка;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максимизация прибыли;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обеспечение инвестиционной привлекательности организации;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достижение прозрачности финансово-хозяйственной деятельности организации для собственников (участников и учредителей), инвесторов, кредиторов.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Объектами анализа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 могут быть как финансовое состояние в целом, так и отдельные составляющие финансовой деятельности: финансовые результаты.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анализ финансовой отчетности осуществляется в несколько этапов: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предварительный анализ (экспресс-анализ): подготовительный этап; предварительный обзор финансовой отчетности; расчет и анализ важнейших аналитических показателей;</w:t>
      </w:r>
    </w:p>
    <w:p w:rsidR="00E726FB" w:rsidRPr="003C7286" w:rsidRDefault="003C7286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726FB" w:rsidRPr="003C7286">
        <w:rPr>
          <w:rFonts w:ascii="Times New Roman" w:eastAsiaTheme="minorEastAsia" w:hAnsi="Times New Roman" w:cs="Times New Roman"/>
          <w:sz w:val="28"/>
          <w:szCs w:val="28"/>
        </w:rPr>
        <w:t>углубленный анализ;</w:t>
      </w:r>
    </w:p>
    <w:p w:rsidR="00E726FB" w:rsidRPr="003C7286" w:rsidRDefault="003C7286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726FB" w:rsidRPr="003C7286">
        <w:rPr>
          <w:rFonts w:ascii="Times New Roman" w:eastAsiaTheme="minorEastAsia" w:hAnsi="Times New Roman" w:cs="Times New Roman"/>
          <w:sz w:val="28"/>
          <w:szCs w:val="28"/>
        </w:rPr>
        <w:t>обобщение результатов анализа, разработка рекомендаций по повышению финансовых результатов и улучшению финансового состояния;</w:t>
      </w:r>
    </w:p>
    <w:p w:rsidR="00E726FB" w:rsidRPr="003C7286" w:rsidRDefault="003C7286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E726FB" w:rsidRPr="003C7286">
        <w:rPr>
          <w:rFonts w:ascii="Times New Roman" w:eastAsiaTheme="minorEastAsia" w:hAnsi="Times New Roman" w:cs="Times New Roman"/>
          <w:sz w:val="28"/>
          <w:szCs w:val="28"/>
        </w:rPr>
        <w:t>прогнозирование финансовой отчетности организации.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Цель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 предварительного анализа (экспресс-анализа): наглядная и несложная по времени исполнения и трудоемкости реализуемых алгоритмов оценка финансового состояния и финансовых результатов деятельности организаций.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Подготовительный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 этап сводится к простейшей счетной проверке финансовой отчетности по формальным признакам (проверка комплектности финансовой отчетности, правильности и ясности заполнения, наличия всех 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lastRenderedPageBreak/>
        <w:t>реквизитов, арифметических расчетов и основных контрольных соотношений), а также аналитической увязки и перегруппировки статей бухгалтерского баланса для удобства анализа.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Предварительный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 обзор финансовой отчетности связан с ознакомлением с аудиторским заключением и пояснительной запиской, оценкой качественных изменений в финансовом состоянии организации за истекший период, изучением влияния на изменение показателей финансовой отчетности макроэкономических факторов.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>Расчет и анализ важнейших аналитических показателей: оценка имущественного положения, финансовой устойчивости, платежеспособности и ликвидности, деловой активности.</w:t>
      </w:r>
    </w:p>
    <w:p w:rsidR="00E726FB" w:rsidRPr="003C7286" w:rsidRDefault="003C7286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Основные </w:t>
      </w:r>
      <w:r w:rsidR="00E726FB" w:rsidRPr="003C7286">
        <w:rPr>
          <w:rFonts w:ascii="Times New Roman" w:eastAsiaTheme="minorEastAsia" w:hAnsi="Times New Roman" w:cs="Times New Roman"/>
          <w:sz w:val="28"/>
          <w:szCs w:val="28"/>
        </w:rPr>
        <w:t>результаты экспресс-анализа оформляются в виде небольшого текстового отчета, представляющего собой предварительное заключение о финансовом состоянии.</w:t>
      </w:r>
    </w:p>
    <w:p w:rsidR="00E726FB" w:rsidRPr="003C7286" w:rsidRDefault="00E726FB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7286">
        <w:rPr>
          <w:rFonts w:ascii="Times New Roman" w:eastAsiaTheme="minorEastAsia" w:hAnsi="Times New Roman" w:cs="Times New Roman"/>
          <w:b/>
          <w:sz w:val="28"/>
          <w:szCs w:val="28"/>
        </w:rPr>
        <w:t>Цель углубленного анализа</w:t>
      </w:r>
      <w:r w:rsidRPr="003C7286">
        <w:rPr>
          <w:rFonts w:ascii="Times New Roman" w:eastAsiaTheme="minorEastAsia" w:hAnsi="Times New Roman" w:cs="Times New Roman"/>
          <w:sz w:val="28"/>
          <w:szCs w:val="28"/>
        </w:rPr>
        <w:t xml:space="preserve"> – подробная характеристика финансового состояния и финансовых результатов деятельности организаций за отчетный период, возможности их изменения на ближайшую и долгосрочную перспективу. Проводится на базе данных всех форм финансовой отчетности, конкретизирует, расширяет и дополняет отдельные направления экспресс-анализа.</w:t>
      </w:r>
    </w:p>
    <w:p w:rsidR="001B7602" w:rsidRDefault="001B7602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B1DEA" w:rsidRPr="001B7602" w:rsidRDefault="003C7286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B7602">
        <w:rPr>
          <w:rFonts w:ascii="Times New Roman" w:eastAsiaTheme="minorEastAsia" w:hAnsi="Times New Roman" w:cs="Times New Roman"/>
          <w:b/>
          <w:sz w:val="28"/>
          <w:szCs w:val="28"/>
        </w:rPr>
        <w:t xml:space="preserve">Контрольные </w:t>
      </w:r>
      <w:r w:rsidR="001B7602" w:rsidRPr="001B7602">
        <w:rPr>
          <w:rFonts w:ascii="Times New Roman" w:eastAsiaTheme="minorEastAsia" w:hAnsi="Times New Roman" w:cs="Times New Roman"/>
          <w:b/>
          <w:sz w:val="28"/>
          <w:szCs w:val="28"/>
        </w:rPr>
        <w:t>вопросы:</w:t>
      </w:r>
    </w:p>
    <w:p w:rsidR="001B7602" w:rsidRDefault="001B7602" w:rsidP="001B7602">
      <w:pPr>
        <w:pStyle w:val="a5"/>
        <w:numPr>
          <w:ilvl w:val="0"/>
          <w:numId w:val="6"/>
        </w:numPr>
        <w:tabs>
          <w:tab w:val="left" w:pos="89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Назовите основную цель анализа финансовой отчетности</w:t>
      </w:r>
    </w:p>
    <w:p w:rsidR="001B7602" w:rsidRDefault="001B7602" w:rsidP="001B7602">
      <w:pPr>
        <w:pStyle w:val="a5"/>
        <w:numPr>
          <w:ilvl w:val="0"/>
          <w:numId w:val="6"/>
        </w:numPr>
        <w:tabs>
          <w:tab w:val="left" w:pos="89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Перечислите основные стратегические задачи анализа финансовой отчетности</w:t>
      </w:r>
    </w:p>
    <w:p w:rsidR="001B7602" w:rsidRPr="001B7602" w:rsidRDefault="001B7602" w:rsidP="001B7602">
      <w:pPr>
        <w:pStyle w:val="a5"/>
        <w:numPr>
          <w:ilvl w:val="0"/>
          <w:numId w:val="6"/>
        </w:numPr>
        <w:tabs>
          <w:tab w:val="left" w:pos="897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Раскройте содержание подготовительного этапа анализа финансовой отчетности</w:t>
      </w:r>
    </w:p>
    <w:p w:rsidR="001B7602" w:rsidRPr="003C7286" w:rsidRDefault="001B7602" w:rsidP="003C7286">
      <w:pPr>
        <w:tabs>
          <w:tab w:val="left" w:pos="897"/>
        </w:tabs>
        <w:spacing w:line="36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1B7602" w:rsidRPr="003C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545"/>
    <w:multiLevelType w:val="hybridMultilevel"/>
    <w:tmpl w:val="C07A8614"/>
    <w:lvl w:ilvl="0" w:tplc="198421B0">
      <w:start w:val="1"/>
      <w:numFmt w:val="decimal"/>
      <w:lvlText w:val="%1."/>
      <w:lvlJc w:val="left"/>
      <w:pPr>
        <w:ind w:left="685" w:hanging="269"/>
      </w:pPr>
      <w:rPr>
        <w:rFonts w:ascii="Trebuchet MS" w:eastAsia="Trebuchet MS" w:hAnsi="Trebuchet MS" w:cs="Trebuchet MS" w:hint="default"/>
        <w:color w:val="231F20"/>
        <w:w w:val="80"/>
        <w:sz w:val="22"/>
        <w:szCs w:val="22"/>
        <w:lang w:val="ru-RU" w:eastAsia="en-US" w:bidi="ar-SA"/>
      </w:rPr>
    </w:lvl>
    <w:lvl w:ilvl="1" w:tplc="9F5289A4">
      <w:numFmt w:val="bullet"/>
      <w:lvlText w:val="•"/>
      <w:lvlJc w:val="left"/>
      <w:pPr>
        <w:ind w:left="1349" w:hanging="269"/>
      </w:pPr>
      <w:rPr>
        <w:lang w:val="ru-RU" w:eastAsia="en-US" w:bidi="ar-SA"/>
      </w:rPr>
    </w:lvl>
    <w:lvl w:ilvl="2" w:tplc="EF1451AE">
      <w:numFmt w:val="bullet"/>
      <w:lvlText w:val="•"/>
      <w:lvlJc w:val="left"/>
      <w:pPr>
        <w:ind w:left="2018" w:hanging="269"/>
      </w:pPr>
      <w:rPr>
        <w:lang w:val="ru-RU" w:eastAsia="en-US" w:bidi="ar-SA"/>
      </w:rPr>
    </w:lvl>
    <w:lvl w:ilvl="3" w:tplc="0F1AC81C">
      <w:numFmt w:val="bullet"/>
      <w:lvlText w:val="•"/>
      <w:lvlJc w:val="left"/>
      <w:pPr>
        <w:ind w:left="2688" w:hanging="269"/>
      </w:pPr>
      <w:rPr>
        <w:lang w:val="ru-RU" w:eastAsia="en-US" w:bidi="ar-SA"/>
      </w:rPr>
    </w:lvl>
    <w:lvl w:ilvl="4" w:tplc="7A3A7078">
      <w:numFmt w:val="bullet"/>
      <w:lvlText w:val="•"/>
      <w:lvlJc w:val="left"/>
      <w:pPr>
        <w:ind w:left="3357" w:hanging="269"/>
      </w:pPr>
      <w:rPr>
        <w:lang w:val="ru-RU" w:eastAsia="en-US" w:bidi="ar-SA"/>
      </w:rPr>
    </w:lvl>
    <w:lvl w:ilvl="5" w:tplc="3B7C56C6">
      <w:numFmt w:val="bullet"/>
      <w:lvlText w:val="•"/>
      <w:lvlJc w:val="left"/>
      <w:pPr>
        <w:ind w:left="4027" w:hanging="269"/>
      </w:pPr>
      <w:rPr>
        <w:lang w:val="ru-RU" w:eastAsia="en-US" w:bidi="ar-SA"/>
      </w:rPr>
    </w:lvl>
    <w:lvl w:ilvl="6" w:tplc="4E6CECFE">
      <w:numFmt w:val="bullet"/>
      <w:lvlText w:val="•"/>
      <w:lvlJc w:val="left"/>
      <w:pPr>
        <w:ind w:left="4696" w:hanging="269"/>
      </w:pPr>
      <w:rPr>
        <w:lang w:val="ru-RU" w:eastAsia="en-US" w:bidi="ar-SA"/>
      </w:rPr>
    </w:lvl>
    <w:lvl w:ilvl="7" w:tplc="8B5A7CFE">
      <w:numFmt w:val="bullet"/>
      <w:lvlText w:val="•"/>
      <w:lvlJc w:val="left"/>
      <w:pPr>
        <w:ind w:left="5366" w:hanging="269"/>
      </w:pPr>
      <w:rPr>
        <w:lang w:val="ru-RU" w:eastAsia="en-US" w:bidi="ar-SA"/>
      </w:rPr>
    </w:lvl>
    <w:lvl w:ilvl="8" w:tplc="A296059C">
      <w:numFmt w:val="bullet"/>
      <w:lvlText w:val="•"/>
      <w:lvlJc w:val="left"/>
      <w:pPr>
        <w:ind w:left="6035" w:hanging="269"/>
      </w:pPr>
      <w:rPr>
        <w:lang w:val="ru-RU" w:eastAsia="en-US" w:bidi="ar-SA"/>
      </w:rPr>
    </w:lvl>
  </w:abstractNum>
  <w:abstractNum w:abstractNumId="1" w15:restartNumberingAfterBreak="0">
    <w:nsid w:val="3AA9282D"/>
    <w:multiLevelType w:val="multilevel"/>
    <w:tmpl w:val="407C42D4"/>
    <w:lvl w:ilvl="0">
      <w:start w:val="3"/>
      <w:numFmt w:val="decimal"/>
      <w:lvlText w:val="%1"/>
      <w:lvlJc w:val="left"/>
      <w:pPr>
        <w:ind w:left="1780" w:hanging="4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0" w:hanging="440"/>
      </w:pPr>
      <w:rPr>
        <w:rFonts w:ascii="Tahoma" w:eastAsia="Tahoma" w:hAnsi="Tahoma" w:cs="Tahoma" w:hint="default"/>
        <w:b/>
        <w:bCs/>
        <w:color w:val="231F20"/>
        <w:w w:val="8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8" w:hanging="4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8" w:hanging="4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7" w:hanging="4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77" w:hanging="4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36" w:hanging="4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96" w:hanging="4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255" w:hanging="440"/>
      </w:pPr>
      <w:rPr>
        <w:lang w:val="ru-RU" w:eastAsia="en-US" w:bidi="ar-SA"/>
      </w:rPr>
    </w:lvl>
  </w:abstractNum>
  <w:abstractNum w:abstractNumId="2" w15:restartNumberingAfterBreak="0">
    <w:nsid w:val="3D34311F"/>
    <w:multiLevelType w:val="hybridMultilevel"/>
    <w:tmpl w:val="65FA944A"/>
    <w:lvl w:ilvl="0" w:tplc="60C4A49C">
      <w:start w:val="1"/>
      <w:numFmt w:val="decimal"/>
      <w:lvlText w:val="%1)"/>
      <w:lvlJc w:val="left"/>
      <w:pPr>
        <w:ind w:left="134" w:hanging="286"/>
      </w:pPr>
      <w:rPr>
        <w:rFonts w:ascii="Trebuchet MS" w:eastAsia="Trebuchet MS" w:hAnsi="Trebuchet MS" w:cs="Trebuchet MS" w:hint="default"/>
        <w:color w:val="231F20"/>
        <w:w w:val="89"/>
        <w:sz w:val="22"/>
        <w:szCs w:val="22"/>
        <w:lang w:val="ru-RU" w:eastAsia="en-US" w:bidi="ar-SA"/>
      </w:rPr>
    </w:lvl>
    <w:lvl w:ilvl="1" w:tplc="8F3A3656">
      <w:numFmt w:val="bullet"/>
      <w:lvlText w:val="•"/>
      <w:lvlJc w:val="left"/>
      <w:pPr>
        <w:ind w:left="863" w:hanging="286"/>
      </w:pPr>
      <w:rPr>
        <w:lang w:val="ru-RU" w:eastAsia="en-US" w:bidi="ar-SA"/>
      </w:rPr>
    </w:lvl>
    <w:lvl w:ilvl="2" w:tplc="092E95E8">
      <w:numFmt w:val="bullet"/>
      <w:lvlText w:val="•"/>
      <w:lvlJc w:val="left"/>
      <w:pPr>
        <w:ind w:left="1586" w:hanging="286"/>
      </w:pPr>
      <w:rPr>
        <w:lang w:val="ru-RU" w:eastAsia="en-US" w:bidi="ar-SA"/>
      </w:rPr>
    </w:lvl>
    <w:lvl w:ilvl="3" w:tplc="529EED12">
      <w:numFmt w:val="bullet"/>
      <w:lvlText w:val="•"/>
      <w:lvlJc w:val="left"/>
      <w:pPr>
        <w:ind w:left="2310" w:hanging="286"/>
      </w:pPr>
      <w:rPr>
        <w:lang w:val="ru-RU" w:eastAsia="en-US" w:bidi="ar-SA"/>
      </w:rPr>
    </w:lvl>
    <w:lvl w:ilvl="4" w:tplc="632291D8">
      <w:numFmt w:val="bullet"/>
      <w:lvlText w:val="•"/>
      <w:lvlJc w:val="left"/>
      <w:pPr>
        <w:ind w:left="3033" w:hanging="286"/>
      </w:pPr>
      <w:rPr>
        <w:lang w:val="ru-RU" w:eastAsia="en-US" w:bidi="ar-SA"/>
      </w:rPr>
    </w:lvl>
    <w:lvl w:ilvl="5" w:tplc="80D02752">
      <w:numFmt w:val="bullet"/>
      <w:lvlText w:val="•"/>
      <w:lvlJc w:val="left"/>
      <w:pPr>
        <w:ind w:left="3757" w:hanging="286"/>
      </w:pPr>
      <w:rPr>
        <w:lang w:val="ru-RU" w:eastAsia="en-US" w:bidi="ar-SA"/>
      </w:rPr>
    </w:lvl>
    <w:lvl w:ilvl="6" w:tplc="BD341B46">
      <w:numFmt w:val="bullet"/>
      <w:lvlText w:val="•"/>
      <w:lvlJc w:val="left"/>
      <w:pPr>
        <w:ind w:left="4480" w:hanging="286"/>
      </w:pPr>
      <w:rPr>
        <w:lang w:val="ru-RU" w:eastAsia="en-US" w:bidi="ar-SA"/>
      </w:rPr>
    </w:lvl>
    <w:lvl w:ilvl="7" w:tplc="925EBBDA">
      <w:numFmt w:val="bullet"/>
      <w:lvlText w:val="•"/>
      <w:lvlJc w:val="left"/>
      <w:pPr>
        <w:ind w:left="5204" w:hanging="286"/>
      </w:pPr>
      <w:rPr>
        <w:lang w:val="ru-RU" w:eastAsia="en-US" w:bidi="ar-SA"/>
      </w:rPr>
    </w:lvl>
    <w:lvl w:ilvl="8" w:tplc="389C1114">
      <w:numFmt w:val="bullet"/>
      <w:lvlText w:val="•"/>
      <w:lvlJc w:val="left"/>
      <w:pPr>
        <w:ind w:left="5927" w:hanging="286"/>
      </w:pPr>
      <w:rPr>
        <w:lang w:val="ru-RU" w:eastAsia="en-US" w:bidi="ar-SA"/>
      </w:rPr>
    </w:lvl>
  </w:abstractNum>
  <w:abstractNum w:abstractNumId="3" w15:restartNumberingAfterBreak="0">
    <w:nsid w:val="4D0E5402"/>
    <w:multiLevelType w:val="hybridMultilevel"/>
    <w:tmpl w:val="253843EE"/>
    <w:lvl w:ilvl="0" w:tplc="8BC69C46">
      <w:start w:val="1"/>
      <w:numFmt w:val="decimal"/>
      <w:lvlText w:val="%1)"/>
      <w:lvlJc w:val="left"/>
      <w:pPr>
        <w:ind w:left="134" w:hanging="286"/>
      </w:pPr>
      <w:rPr>
        <w:rFonts w:ascii="Trebuchet MS" w:eastAsia="Trebuchet MS" w:hAnsi="Trebuchet MS" w:cs="Trebuchet MS" w:hint="default"/>
        <w:color w:val="231F20"/>
        <w:w w:val="89"/>
        <w:sz w:val="22"/>
        <w:szCs w:val="22"/>
        <w:lang w:val="ru-RU" w:eastAsia="en-US" w:bidi="ar-SA"/>
      </w:rPr>
    </w:lvl>
    <w:lvl w:ilvl="1" w:tplc="CB0C458A">
      <w:numFmt w:val="bullet"/>
      <w:lvlText w:val="•"/>
      <w:lvlJc w:val="left"/>
      <w:pPr>
        <w:ind w:left="863" w:hanging="286"/>
      </w:pPr>
      <w:rPr>
        <w:lang w:val="ru-RU" w:eastAsia="en-US" w:bidi="ar-SA"/>
      </w:rPr>
    </w:lvl>
    <w:lvl w:ilvl="2" w:tplc="37E83D34">
      <w:numFmt w:val="bullet"/>
      <w:lvlText w:val="•"/>
      <w:lvlJc w:val="left"/>
      <w:pPr>
        <w:ind w:left="1586" w:hanging="286"/>
      </w:pPr>
      <w:rPr>
        <w:lang w:val="ru-RU" w:eastAsia="en-US" w:bidi="ar-SA"/>
      </w:rPr>
    </w:lvl>
    <w:lvl w:ilvl="3" w:tplc="4EAC9C70">
      <w:numFmt w:val="bullet"/>
      <w:lvlText w:val="•"/>
      <w:lvlJc w:val="left"/>
      <w:pPr>
        <w:ind w:left="2310" w:hanging="286"/>
      </w:pPr>
      <w:rPr>
        <w:lang w:val="ru-RU" w:eastAsia="en-US" w:bidi="ar-SA"/>
      </w:rPr>
    </w:lvl>
    <w:lvl w:ilvl="4" w:tplc="0CDE02B2">
      <w:numFmt w:val="bullet"/>
      <w:lvlText w:val="•"/>
      <w:lvlJc w:val="left"/>
      <w:pPr>
        <w:ind w:left="3033" w:hanging="286"/>
      </w:pPr>
      <w:rPr>
        <w:lang w:val="ru-RU" w:eastAsia="en-US" w:bidi="ar-SA"/>
      </w:rPr>
    </w:lvl>
    <w:lvl w:ilvl="5" w:tplc="A4BEB31A">
      <w:numFmt w:val="bullet"/>
      <w:lvlText w:val="•"/>
      <w:lvlJc w:val="left"/>
      <w:pPr>
        <w:ind w:left="3757" w:hanging="286"/>
      </w:pPr>
      <w:rPr>
        <w:lang w:val="ru-RU" w:eastAsia="en-US" w:bidi="ar-SA"/>
      </w:rPr>
    </w:lvl>
    <w:lvl w:ilvl="6" w:tplc="80B8B060">
      <w:numFmt w:val="bullet"/>
      <w:lvlText w:val="•"/>
      <w:lvlJc w:val="left"/>
      <w:pPr>
        <w:ind w:left="4480" w:hanging="286"/>
      </w:pPr>
      <w:rPr>
        <w:lang w:val="ru-RU" w:eastAsia="en-US" w:bidi="ar-SA"/>
      </w:rPr>
    </w:lvl>
    <w:lvl w:ilvl="7" w:tplc="E0501EE0">
      <w:numFmt w:val="bullet"/>
      <w:lvlText w:val="•"/>
      <w:lvlJc w:val="left"/>
      <w:pPr>
        <w:ind w:left="5204" w:hanging="286"/>
      </w:pPr>
      <w:rPr>
        <w:lang w:val="ru-RU" w:eastAsia="en-US" w:bidi="ar-SA"/>
      </w:rPr>
    </w:lvl>
    <w:lvl w:ilvl="8" w:tplc="C5E46244">
      <w:numFmt w:val="bullet"/>
      <w:lvlText w:val="•"/>
      <w:lvlJc w:val="left"/>
      <w:pPr>
        <w:ind w:left="5927" w:hanging="286"/>
      </w:pPr>
      <w:rPr>
        <w:lang w:val="ru-RU" w:eastAsia="en-US" w:bidi="ar-SA"/>
      </w:rPr>
    </w:lvl>
  </w:abstractNum>
  <w:abstractNum w:abstractNumId="4" w15:restartNumberingAfterBreak="0">
    <w:nsid w:val="67B266E3"/>
    <w:multiLevelType w:val="hybridMultilevel"/>
    <w:tmpl w:val="A4F6F87E"/>
    <w:lvl w:ilvl="0" w:tplc="BB9AA624">
      <w:numFmt w:val="bullet"/>
      <w:lvlText w:val="–"/>
      <w:lvlJc w:val="left"/>
      <w:pPr>
        <w:ind w:left="133" w:hanging="220"/>
      </w:pPr>
      <w:rPr>
        <w:rFonts w:ascii="Trebuchet MS" w:eastAsia="Trebuchet MS" w:hAnsi="Trebuchet MS" w:cs="Trebuchet MS" w:hint="default"/>
        <w:color w:val="231F20"/>
        <w:w w:val="136"/>
        <w:sz w:val="22"/>
        <w:szCs w:val="22"/>
        <w:lang w:val="ru-RU" w:eastAsia="en-US" w:bidi="ar-SA"/>
      </w:rPr>
    </w:lvl>
    <w:lvl w:ilvl="1" w:tplc="647EBBAC">
      <w:numFmt w:val="bullet"/>
      <w:lvlText w:val="•"/>
      <w:lvlJc w:val="left"/>
      <w:pPr>
        <w:ind w:left="852" w:hanging="220"/>
      </w:pPr>
      <w:rPr>
        <w:lang w:val="ru-RU" w:eastAsia="en-US" w:bidi="ar-SA"/>
      </w:rPr>
    </w:lvl>
    <w:lvl w:ilvl="2" w:tplc="51D254AE">
      <w:numFmt w:val="bullet"/>
      <w:lvlText w:val="•"/>
      <w:lvlJc w:val="left"/>
      <w:pPr>
        <w:ind w:left="1564" w:hanging="220"/>
      </w:pPr>
      <w:rPr>
        <w:lang w:val="ru-RU" w:eastAsia="en-US" w:bidi="ar-SA"/>
      </w:rPr>
    </w:lvl>
    <w:lvl w:ilvl="3" w:tplc="32E8790E">
      <w:numFmt w:val="bullet"/>
      <w:lvlText w:val="•"/>
      <w:lvlJc w:val="left"/>
      <w:pPr>
        <w:ind w:left="2276" w:hanging="220"/>
      </w:pPr>
      <w:rPr>
        <w:lang w:val="ru-RU" w:eastAsia="en-US" w:bidi="ar-SA"/>
      </w:rPr>
    </w:lvl>
    <w:lvl w:ilvl="4" w:tplc="9022DD22">
      <w:numFmt w:val="bullet"/>
      <w:lvlText w:val="•"/>
      <w:lvlJc w:val="left"/>
      <w:pPr>
        <w:ind w:left="2988" w:hanging="220"/>
      </w:pPr>
      <w:rPr>
        <w:lang w:val="ru-RU" w:eastAsia="en-US" w:bidi="ar-SA"/>
      </w:rPr>
    </w:lvl>
    <w:lvl w:ilvl="5" w:tplc="18200AE2">
      <w:numFmt w:val="bullet"/>
      <w:lvlText w:val="•"/>
      <w:lvlJc w:val="left"/>
      <w:pPr>
        <w:ind w:left="3700" w:hanging="220"/>
      </w:pPr>
      <w:rPr>
        <w:lang w:val="ru-RU" w:eastAsia="en-US" w:bidi="ar-SA"/>
      </w:rPr>
    </w:lvl>
    <w:lvl w:ilvl="6" w:tplc="CAE8A9B0">
      <w:numFmt w:val="bullet"/>
      <w:lvlText w:val="•"/>
      <w:lvlJc w:val="left"/>
      <w:pPr>
        <w:ind w:left="4412" w:hanging="220"/>
      </w:pPr>
      <w:rPr>
        <w:lang w:val="ru-RU" w:eastAsia="en-US" w:bidi="ar-SA"/>
      </w:rPr>
    </w:lvl>
    <w:lvl w:ilvl="7" w:tplc="50486DF8">
      <w:numFmt w:val="bullet"/>
      <w:lvlText w:val="•"/>
      <w:lvlJc w:val="left"/>
      <w:pPr>
        <w:ind w:left="5124" w:hanging="220"/>
      </w:pPr>
      <w:rPr>
        <w:lang w:val="ru-RU" w:eastAsia="en-US" w:bidi="ar-SA"/>
      </w:rPr>
    </w:lvl>
    <w:lvl w:ilvl="8" w:tplc="495A5DD6">
      <w:numFmt w:val="bullet"/>
      <w:lvlText w:val="•"/>
      <w:lvlJc w:val="left"/>
      <w:pPr>
        <w:ind w:left="5836" w:hanging="220"/>
      </w:pPr>
      <w:rPr>
        <w:lang w:val="ru-RU" w:eastAsia="en-US" w:bidi="ar-SA"/>
      </w:rPr>
    </w:lvl>
  </w:abstractNum>
  <w:abstractNum w:abstractNumId="5" w15:restartNumberingAfterBreak="0">
    <w:nsid w:val="7F577E2D"/>
    <w:multiLevelType w:val="hybridMultilevel"/>
    <w:tmpl w:val="A802F7FC"/>
    <w:lvl w:ilvl="0" w:tplc="E6A4A55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B"/>
    <w:rsid w:val="001B7602"/>
    <w:rsid w:val="00342806"/>
    <w:rsid w:val="003C7286"/>
    <w:rsid w:val="00B91F47"/>
    <w:rsid w:val="00E726FB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9EFA-1F8D-4C47-9034-90ACD822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6F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3">
    <w:name w:val="heading 3"/>
    <w:basedOn w:val="a"/>
    <w:link w:val="30"/>
    <w:uiPriority w:val="9"/>
    <w:semiHidden/>
    <w:unhideWhenUsed/>
    <w:qFormat/>
    <w:rsid w:val="00E726FB"/>
    <w:pPr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E726FB"/>
    <w:pPr>
      <w:ind w:left="133"/>
      <w:outlineLvl w:val="5"/>
    </w:pPr>
    <w:rPr>
      <w:rFonts w:ascii="Tahoma" w:eastAsia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6FB"/>
    <w:rPr>
      <w:rFonts w:ascii="Tahoma" w:eastAsia="Tahoma" w:hAnsi="Tahoma" w:cs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726FB"/>
    <w:rPr>
      <w:rFonts w:ascii="Tahoma" w:eastAsia="Tahoma" w:hAnsi="Tahoma" w:cs="Tahoma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E726FB"/>
  </w:style>
  <w:style w:type="character" w:customStyle="1" w:styleId="a4">
    <w:name w:val="Основной текст Знак"/>
    <w:basedOn w:val="a0"/>
    <w:link w:val="a3"/>
    <w:uiPriority w:val="1"/>
    <w:semiHidden/>
    <w:rsid w:val="00E726FB"/>
    <w:rPr>
      <w:rFonts w:ascii="Trebuchet MS" w:eastAsia="Trebuchet MS" w:hAnsi="Trebuchet MS" w:cs="Trebuchet MS"/>
    </w:rPr>
  </w:style>
  <w:style w:type="paragraph" w:styleId="a5">
    <w:name w:val="List Paragraph"/>
    <w:basedOn w:val="a"/>
    <w:uiPriority w:val="1"/>
    <w:qFormat/>
    <w:rsid w:val="00E726FB"/>
    <w:pPr>
      <w:ind w:left="133"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Лутцева Татьяна Владимировна</dc:creator>
  <cp:keywords/>
  <dc:description/>
  <cp:lastModifiedBy>Бихе Анжела Викторовна</cp:lastModifiedBy>
  <cp:revision>2</cp:revision>
  <dcterms:created xsi:type="dcterms:W3CDTF">2022-04-26T07:45:00Z</dcterms:created>
  <dcterms:modified xsi:type="dcterms:W3CDTF">2023-06-13T11:40:00Z</dcterms:modified>
</cp:coreProperties>
</file>