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58" w:rsidRDefault="007A5A58" w:rsidP="007A5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58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 Краснодарского края</w:t>
      </w:r>
    </w:p>
    <w:p w:rsidR="00182F2B" w:rsidRPr="007A5A58" w:rsidRDefault="00182F2B" w:rsidP="007A5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Новороссийский колле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дж стр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оительства и экономики</w:t>
      </w:r>
    </w:p>
    <w:p w:rsidR="00182F2B" w:rsidRDefault="00182F2B">
      <w:pPr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>
      <w:pPr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>
      <w:pPr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>
      <w:pPr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>
      <w:pPr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>
      <w:pPr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разработка заседания</w:t>
      </w: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круглого стола «Сложна ли роль избирателя?»</w:t>
      </w: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Новороссийск</w:t>
      </w:r>
    </w:p>
    <w:p w:rsidR="00110118" w:rsidRDefault="007A5A58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2014</w:t>
      </w:r>
    </w:p>
    <w:p w:rsidR="00110118" w:rsidRDefault="001101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pPr w:leftFromText="180" w:rightFromText="180" w:bottomFromText="200" w:vertAnchor="text" w:horzAnchor="margin" w:tblpY="14"/>
        <w:tblW w:w="9890" w:type="dxa"/>
        <w:tblLook w:val="01E0"/>
      </w:tblPr>
      <w:tblGrid>
        <w:gridCol w:w="288"/>
        <w:gridCol w:w="2797"/>
        <w:gridCol w:w="288"/>
        <w:gridCol w:w="3256"/>
        <w:gridCol w:w="288"/>
        <w:gridCol w:w="2973"/>
      </w:tblGrid>
      <w:tr w:rsidR="00110118" w:rsidRPr="00C0757F" w:rsidTr="001049A3">
        <w:tc>
          <w:tcPr>
            <w:tcW w:w="3085" w:type="dxa"/>
            <w:gridSpan w:val="2"/>
          </w:tcPr>
          <w:p w:rsidR="00110118" w:rsidRPr="00C0757F" w:rsidRDefault="00110118" w:rsidP="001049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УТВЕРЖДАЮ</w:t>
            </w:r>
          </w:p>
          <w:p w:rsidR="00110118" w:rsidRPr="00C0757F" w:rsidRDefault="00110118" w:rsidP="001049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________Н.В. Плющева</w:t>
            </w: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«___»__________2014 г.</w:t>
            </w:r>
          </w:p>
        </w:tc>
        <w:tc>
          <w:tcPr>
            <w:tcW w:w="3544" w:type="dxa"/>
            <w:gridSpan w:val="2"/>
          </w:tcPr>
          <w:p w:rsidR="00110118" w:rsidRPr="00C0757F" w:rsidRDefault="00110118" w:rsidP="001049A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gridSpan w:val="2"/>
            <w:hideMark/>
          </w:tcPr>
          <w:p w:rsidR="00110118" w:rsidRPr="00C0757F" w:rsidRDefault="00110118" w:rsidP="001049A3">
            <w:pPr>
              <w:spacing w:after="0"/>
              <w:ind w:hanging="5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ОДОБРЕНО</w:t>
            </w: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ЦМК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социально-экономических дисциплин</w:t>
            </w: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____ </w:t>
            </w: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«__»_____20 14г. </w:t>
            </w: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 Ворошилова</w:t>
            </w:r>
          </w:p>
          <w:p w:rsidR="00110118" w:rsidRPr="00C0757F" w:rsidRDefault="00110118" w:rsidP="001049A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10118" w:rsidRPr="00C0757F" w:rsidRDefault="00110118" w:rsidP="001049A3">
            <w:pPr>
              <w:shd w:val="clear" w:color="auto" w:fill="FFFFFF"/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10118" w:rsidRPr="00C0757F" w:rsidTr="001049A3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110118" w:rsidRPr="00C0757F" w:rsidRDefault="00110118" w:rsidP="001049A3">
            <w:pPr>
              <w:spacing w:after="0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ОГЛАСОВАНО</w:t>
            </w:r>
          </w:p>
          <w:p w:rsidR="00110118" w:rsidRPr="00C0757F" w:rsidRDefault="00110118" w:rsidP="001049A3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Научно-методический                                     </w:t>
            </w:r>
          </w:p>
          <w:p w:rsidR="00110118" w:rsidRPr="00C0757F" w:rsidRDefault="00110118" w:rsidP="001049A3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 протокол №___                                               </w:t>
            </w:r>
          </w:p>
          <w:p w:rsidR="00110118" w:rsidRPr="00C0757F" w:rsidRDefault="00110118" w:rsidP="001049A3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«__»_______201</w:t>
            </w:r>
            <w:r w:rsidR="00877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                                                                   </w:t>
            </w:r>
          </w:p>
          <w:p w:rsidR="00110118" w:rsidRPr="00C0757F" w:rsidRDefault="00110118" w:rsidP="001049A3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118" w:rsidRPr="00C0757F" w:rsidRDefault="00110118" w:rsidP="001049A3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5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________Э.М.Ребрина</w:t>
            </w:r>
          </w:p>
          <w:p w:rsidR="00110118" w:rsidRPr="00C0757F" w:rsidRDefault="00110118" w:rsidP="001049A3">
            <w:pPr>
              <w:suppressAutoHyphens/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2"/>
          </w:tcPr>
          <w:p w:rsidR="00110118" w:rsidRPr="00C0757F" w:rsidRDefault="00110118" w:rsidP="001049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973" w:type="dxa"/>
          </w:tcPr>
          <w:p w:rsidR="00110118" w:rsidRPr="00C0757F" w:rsidRDefault="00110118" w:rsidP="001049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110118" w:rsidRPr="00C0757F" w:rsidRDefault="00110118" w:rsidP="00110118">
      <w:pPr>
        <w:spacing w:after="0" w:line="240" w:lineRule="auto"/>
        <w:ind w:left="180"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10118" w:rsidRPr="00C0757F" w:rsidRDefault="00110118" w:rsidP="00110118">
      <w:pPr>
        <w:spacing w:after="0" w:line="240" w:lineRule="auto"/>
        <w:ind w:left="180"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10118" w:rsidRPr="00C0757F" w:rsidRDefault="00110118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10118" w:rsidRPr="00C0757F" w:rsidRDefault="00110118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5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Разработчик:</w:t>
      </w:r>
    </w:p>
    <w:p w:rsidR="00110118" w:rsidRPr="00C0757F" w:rsidRDefault="00110118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5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877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Л.Г.Кашинцева</w:t>
      </w:r>
    </w:p>
    <w:p w:rsidR="00110118" w:rsidRPr="00C0757F" w:rsidRDefault="00110118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075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Преподаватель </w:t>
      </w:r>
      <w:r w:rsidR="00877F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социально-экономичсеких дисциплин</w:t>
      </w:r>
    </w:p>
    <w:p w:rsidR="00110118" w:rsidRDefault="00110118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075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</w:t>
      </w:r>
      <w:r w:rsidR="00877F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r w:rsidRPr="00C075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ОУ</w:t>
      </w:r>
      <w:r w:rsidR="00877F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КК «НКСЭ» </w:t>
      </w:r>
    </w:p>
    <w:p w:rsidR="00877F9F" w:rsidRDefault="00877F9F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 Е.В. Сыроежкина</w:t>
      </w:r>
    </w:p>
    <w:p w:rsidR="000C44AE" w:rsidRDefault="000C44AE" w:rsidP="000C44A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075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Преподаватель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социально-экономичсеких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дисциплин</w:t>
      </w:r>
    </w:p>
    <w:p w:rsidR="00C25192" w:rsidRDefault="00C25192" w:rsidP="000C44A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5192" w:rsidRDefault="00C25192" w:rsidP="000C44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Рецензент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25192" w:rsidRDefault="00C25192" w:rsidP="000C44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 </w:t>
      </w:r>
      <w:r w:rsidRPr="00C2519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И.Ю.</w:t>
      </w:r>
      <w:proofErr w:type="gramStart"/>
      <w:r w:rsidRPr="00C2519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Коновал</w:t>
      </w:r>
      <w:proofErr w:type="gramEnd"/>
    </w:p>
    <w:p w:rsidR="00C25192" w:rsidRPr="00C25192" w:rsidRDefault="00C25192" w:rsidP="000C44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7F9F" w:rsidRPr="00C0757F" w:rsidRDefault="00877F9F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10118" w:rsidRPr="00C0757F" w:rsidRDefault="00110118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0118" w:rsidRPr="00C0757F" w:rsidRDefault="00110118" w:rsidP="001101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2F2B" w:rsidRDefault="00182F2B" w:rsidP="00182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82F2B" w:rsidRDefault="00182F2B">
      <w:pPr>
        <w:rPr>
          <w:rFonts w:ascii="Times New Roman" w:hAnsi="Times New Roman" w:cs="Times New Roman"/>
          <w:b/>
          <w:sz w:val="32"/>
          <w:szCs w:val="32"/>
        </w:rPr>
      </w:pPr>
    </w:p>
    <w:p w:rsidR="006F5F7C" w:rsidRDefault="004130F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30FA">
        <w:rPr>
          <w:rFonts w:ascii="Times New Roman" w:hAnsi="Times New Roman" w:cs="Times New Roman"/>
          <w:b/>
          <w:sz w:val="32"/>
          <w:szCs w:val="32"/>
        </w:rPr>
        <w:t>Круглый стол «Сложна ли роль избирателя?»</w:t>
      </w:r>
    </w:p>
    <w:p w:rsidR="00F60315" w:rsidRPr="004130FA" w:rsidRDefault="00F60315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130FA" w:rsidRDefault="004130F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0F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собственной гражданской позиции, приобретение опыта ведения политической дискуссии, повышение уровня политической культуры.</w:t>
      </w:r>
    </w:p>
    <w:p w:rsidR="004130FA" w:rsidRDefault="004130F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0F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130FA">
        <w:rPr>
          <w:rFonts w:ascii="Times New Roman" w:hAnsi="Times New Roman" w:cs="Times New Roman"/>
          <w:sz w:val="24"/>
          <w:szCs w:val="24"/>
        </w:rPr>
        <w:t>интерактивная доска, слайд-шоу, вопросы викторины</w:t>
      </w:r>
    </w:p>
    <w:p w:rsidR="00F60315" w:rsidRDefault="00F60315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EE" w:rsidRDefault="00F60315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130FA" w:rsidRPr="004130FA">
        <w:rPr>
          <w:rFonts w:ascii="Times New Roman" w:hAnsi="Times New Roman" w:cs="Times New Roman"/>
          <w:b/>
          <w:sz w:val="24"/>
          <w:szCs w:val="24"/>
        </w:rPr>
        <w:t>Ход заседания круглого стола</w:t>
      </w:r>
    </w:p>
    <w:p w:rsidR="00F60315" w:rsidRPr="00F60315" w:rsidRDefault="00F60315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EEE" w:rsidRPr="001920B6" w:rsidRDefault="002D3EE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</w:p>
    <w:p w:rsidR="002D3EEE" w:rsidRPr="003063C3" w:rsidRDefault="002D3EE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Сегодня мы проводим заседание круглого стола на тему «Сложна ли роль избирателя?» В нашем колледже стало уже традицией выносить на обсуждение студенческой аудитории самые актуальные вопросы общественной жизни страны. За последние годы проводились дискуссии о воинском долге, о мире без войн, о том каким должен быть специалист XXI века, обсуждались вопросы целесообразности переименования Краснодара в Екатеринодар. Но особое место всегда занимали вопросы, связанные с политическим статусом личности, политической культурой и гражданственностью.</w:t>
      </w:r>
    </w:p>
    <w:p w:rsidR="002D3EEE" w:rsidRPr="003063C3" w:rsidRDefault="002D3EE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Особенностью сегодняшнего заседания круглого стола является состав участников – в основном это студенты первых курсов. Сегодня каждый из вас получит</w:t>
      </w:r>
      <w:r w:rsidR="00356B6F" w:rsidRPr="003063C3">
        <w:rPr>
          <w:rFonts w:ascii="Times New Roman" w:hAnsi="Times New Roman" w:cs="Times New Roman"/>
          <w:sz w:val="24"/>
          <w:szCs w:val="24"/>
        </w:rPr>
        <w:t xml:space="preserve"> возможность высказать свое мнение, сформулировать собственную гражданскую позицию, приобрести опыт ведения политической дискуссии, повысить уровень своей политической культуры. Будьте активны, уважайте мнение своих оппонентов, помните о культуре ведения дискуссии, будьте толерантны.</w:t>
      </w:r>
    </w:p>
    <w:p w:rsidR="00356B6F" w:rsidRPr="003063C3" w:rsidRDefault="00356B6F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Вопросы для обсуждения вы видите на экране:</w:t>
      </w:r>
    </w:p>
    <w:p w:rsidR="00356B6F" w:rsidRPr="003063C3" w:rsidRDefault="00356B6F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063C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063C3">
        <w:rPr>
          <w:rFonts w:ascii="Times New Roman" w:hAnsi="Times New Roman" w:cs="Times New Roman"/>
          <w:sz w:val="24"/>
          <w:szCs w:val="24"/>
        </w:rPr>
        <w:t>ак сделать правильный выбор?</w:t>
      </w:r>
    </w:p>
    <w:p w:rsidR="00356B6F" w:rsidRPr="003063C3" w:rsidRDefault="00356B6F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3063C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063C3">
        <w:rPr>
          <w:rFonts w:ascii="Times New Roman" w:hAnsi="Times New Roman" w:cs="Times New Roman"/>
          <w:sz w:val="24"/>
          <w:szCs w:val="24"/>
        </w:rPr>
        <w:t>акую роль в политике играет отдельная личность?</w:t>
      </w:r>
    </w:p>
    <w:p w:rsidR="00356B6F" w:rsidRPr="003063C3" w:rsidRDefault="00356B6F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3 Викторина. Диагностика политической культуры аудитории.</w:t>
      </w:r>
    </w:p>
    <w:p w:rsidR="00871A1B" w:rsidRPr="003063C3" w:rsidRDefault="00356B6F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Задумывались ли вы когда-нибудь о том, почему люди проявляют живой интерес к политике? Почему рядовому инженеру или врачу, рабочему  или сельскому жителю не безразлично, кто работает в высшем органе власти? Почему многие из них часами сидят у экранов телевизоров, наблюдая за парламентскими дебатами, обсуждают законопроекты, ходят на митинги?</w:t>
      </w:r>
    </w:p>
    <w:p w:rsidR="00356B6F" w:rsidRPr="003063C3" w:rsidRDefault="00871A1B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lastRenderedPageBreak/>
        <w:t xml:space="preserve">Полное равнодушие к политике встречается нечасто, потому что от этого зависит развитие общества и жизни каждого из нас. </w:t>
      </w:r>
      <w:r w:rsidR="00356B6F" w:rsidRPr="003063C3">
        <w:rPr>
          <w:rFonts w:ascii="Times New Roman" w:hAnsi="Times New Roman" w:cs="Times New Roman"/>
          <w:sz w:val="24"/>
          <w:szCs w:val="24"/>
        </w:rPr>
        <w:t xml:space="preserve"> </w:t>
      </w:r>
      <w:r w:rsidR="00611692" w:rsidRPr="003063C3">
        <w:rPr>
          <w:rFonts w:ascii="Times New Roman" w:hAnsi="Times New Roman" w:cs="Times New Roman"/>
          <w:sz w:val="24"/>
          <w:szCs w:val="24"/>
        </w:rPr>
        <w:t>Кроме того, участие в политике, по мнению психологов, удовлетворяет потребность человека в общении, но на более высоком уровне. Такое общение дает мощный импульс развитию личности. Внимание к политике у всех людей разное, как и степень участия в ней. Тем не менее, существует вид политической деятельности, в которой участвует большинство населения. Это выборы, которые признаются оптимальным способом формирования государственной власти.</w:t>
      </w:r>
    </w:p>
    <w:p w:rsidR="00611692" w:rsidRPr="003063C3" w:rsidRDefault="00611692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Прежде чем мы перейдем к обсуждению первого вопроса, хотелось бы </w:t>
      </w:r>
      <w:proofErr w:type="gramStart"/>
      <w:r w:rsidRPr="003063C3">
        <w:rPr>
          <w:rFonts w:ascii="Times New Roman" w:hAnsi="Times New Roman" w:cs="Times New Roman"/>
          <w:sz w:val="24"/>
          <w:szCs w:val="24"/>
        </w:rPr>
        <w:t>услышать</w:t>
      </w:r>
      <w:proofErr w:type="gramEnd"/>
      <w:r w:rsidRPr="003063C3">
        <w:rPr>
          <w:rFonts w:ascii="Times New Roman" w:hAnsi="Times New Roman" w:cs="Times New Roman"/>
          <w:sz w:val="24"/>
          <w:szCs w:val="24"/>
        </w:rPr>
        <w:t xml:space="preserve"> как в</w:t>
      </w:r>
      <w:r w:rsidR="001920B6">
        <w:rPr>
          <w:rFonts w:ascii="Times New Roman" w:hAnsi="Times New Roman" w:cs="Times New Roman"/>
          <w:sz w:val="24"/>
          <w:szCs w:val="24"/>
        </w:rPr>
        <w:t>ы понимаете изречение Линкольна</w:t>
      </w:r>
      <w:r w:rsidRPr="003063C3">
        <w:rPr>
          <w:rFonts w:ascii="Times New Roman" w:hAnsi="Times New Roman" w:cs="Times New Roman"/>
          <w:sz w:val="24"/>
          <w:szCs w:val="24"/>
        </w:rPr>
        <w:t>: «Избирательный бюллетень сильнее пули».</w:t>
      </w:r>
    </w:p>
    <w:p w:rsidR="00611692" w:rsidRPr="003063C3" w:rsidRDefault="00611692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b/>
          <w:sz w:val="24"/>
          <w:szCs w:val="24"/>
        </w:rPr>
        <w:t>Идет обсуждение</w:t>
      </w:r>
      <w:r w:rsidRPr="003063C3">
        <w:rPr>
          <w:rFonts w:ascii="Times New Roman" w:hAnsi="Times New Roman" w:cs="Times New Roman"/>
          <w:sz w:val="24"/>
          <w:szCs w:val="24"/>
        </w:rPr>
        <w:t>. Студенты высказывают свою точку зрения по этому вопросу.</w:t>
      </w:r>
    </w:p>
    <w:p w:rsidR="00611692" w:rsidRPr="003063C3" w:rsidRDefault="00611692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Преподаватель подытоживает высказывания студентов.</w:t>
      </w:r>
    </w:p>
    <w:p w:rsidR="00611692" w:rsidRPr="001920B6" w:rsidRDefault="001920B6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611692" w:rsidRPr="003063C3" w:rsidRDefault="00AA1872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Так как же избирателю сделать правильный выбор? Кому из кандидатов отдать свой голос? </w:t>
      </w:r>
    </w:p>
    <w:p w:rsidR="001920B6" w:rsidRPr="001920B6" w:rsidRDefault="001920B6" w:rsidP="001920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 xml:space="preserve">            Студенты:</w:t>
      </w:r>
    </w:p>
    <w:p w:rsidR="00AA1872" w:rsidRPr="003063C3" w:rsidRDefault="00AA1872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 Необходимо изучать предвыборные программы кандидатов, изучать их биографию, ходить на встречу с кандидатами.</w:t>
      </w:r>
    </w:p>
    <w:p w:rsidR="00AA1872" w:rsidRPr="001920B6" w:rsidRDefault="001920B6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AA1872" w:rsidRPr="003063C3" w:rsidRDefault="00AA1872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Да, действительно. Ориентирами сознательного выбора является анализ предвыборных программ кандидатов, изучение их биографии (происхождение, окружение, в том числе сторонники и оппоненты, стиль работы и пр.)</w:t>
      </w:r>
      <w:proofErr w:type="gramStart"/>
      <w:r w:rsidR="001049DE" w:rsidRPr="003063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49DE" w:rsidRPr="00306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49DE" w:rsidRPr="003063C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1049DE" w:rsidRPr="003063C3">
        <w:rPr>
          <w:rFonts w:ascii="Times New Roman" w:hAnsi="Times New Roman" w:cs="Times New Roman"/>
          <w:sz w:val="24"/>
          <w:szCs w:val="24"/>
        </w:rPr>
        <w:t>елательно принять участие во встрече с ним, т.к. при личной встрече с избирателями проявляется его политическая позиция, интеллект, манера общения, черты характера, т.е. избирателю предоставляется шанс лично убедиться в достоинствах кандидата и преимуществах его предвыборной программы.</w:t>
      </w:r>
    </w:p>
    <w:p w:rsidR="001049DE" w:rsidRPr="001920B6" w:rsidRDefault="001049D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1049DE" w:rsidRPr="003063C3" w:rsidRDefault="001049D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Каким требованиям должна отвечать предвыборная программа?</w:t>
      </w:r>
    </w:p>
    <w:p w:rsidR="001049DE" w:rsidRPr="001920B6" w:rsidRDefault="001049D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1049DE" w:rsidRPr="003063C3" w:rsidRDefault="001049D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Она должна быть понятной, давать ответ на вопрос о том, какие блага приобретут избиратель и его семья, если программа будет выполнена.</w:t>
      </w:r>
    </w:p>
    <w:p w:rsidR="001049DE" w:rsidRPr="001920B6" w:rsidRDefault="001049D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1049DE" w:rsidRPr="003063C3" w:rsidRDefault="001049D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Таким образом, избиратель должен оценить программу по следующим критериям: цель, средства ее достижения, аргументация и язык.</w:t>
      </w:r>
    </w:p>
    <w:p w:rsidR="001049DE" w:rsidRPr="003063C3" w:rsidRDefault="001049D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lastRenderedPageBreak/>
        <w:t>Грамотная оценка предвыборной программы – важное, но не единственное условие безошибочного</w:t>
      </w:r>
      <w:r w:rsidR="0041155E" w:rsidRPr="003063C3">
        <w:rPr>
          <w:rFonts w:ascii="Times New Roman" w:hAnsi="Times New Roman" w:cs="Times New Roman"/>
          <w:sz w:val="24"/>
          <w:szCs w:val="24"/>
        </w:rPr>
        <w:t xml:space="preserve"> выбора кандидата в политические деятели. Избирателю всегда интересно знать, кому он вручает мандат доверия, что это за человек.</w:t>
      </w:r>
    </w:p>
    <w:p w:rsidR="0041155E" w:rsidRPr="001920B6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41155E" w:rsidRPr="003063C3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Какими личными качествами должен обладать кандидат?</w:t>
      </w:r>
    </w:p>
    <w:p w:rsidR="0041155E" w:rsidRPr="001920B6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1155E" w:rsidRPr="003063C3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Образованность, компетентность, честность, он должен быть лидером, уметь сплачивать людей, нести личную ответственность за результаты своей деятельности.</w:t>
      </w:r>
    </w:p>
    <w:p w:rsidR="0041155E" w:rsidRPr="001920B6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41155E" w:rsidRPr="003063C3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Однако не всегда претендент на власть обладает необходимыми качествами. В некоторых случаях создается видимость их наличия.</w:t>
      </w:r>
    </w:p>
    <w:p w:rsidR="0041155E" w:rsidRPr="003063C3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Такой кандидат стремиться заработать имидж «своего парня». Он шокирует публику предельной откровенностью, что ассоциируется у части избирателей с честностью и гарантией выполнения предвыборных обещаний. Обещает много, рассчитывая на то, что поверят. Такие приемы воздействия на избирателя называются популизмом.</w:t>
      </w:r>
    </w:p>
    <w:p w:rsidR="0041155E" w:rsidRPr="003063C3" w:rsidRDefault="001920B6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</w:t>
      </w:r>
      <w:r w:rsidR="0041155E" w:rsidRPr="003063C3">
        <w:rPr>
          <w:rFonts w:ascii="Times New Roman" w:hAnsi="Times New Roman" w:cs="Times New Roman"/>
          <w:sz w:val="24"/>
          <w:szCs w:val="24"/>
        </w:rPr>
        <w:t>лизм – это стиль в политике, позволяющий добиться поддержки избирателей, благодаря податливости масс на простые объяснения сложных вопросов, на примитивные, но внешне привлекательные лозунги.</w:t>
      </w:r>
    </w:p>
    <w:p w:rsidR="0041155E" w:rsidRPr="003063C3" w:rsidRDefault="0041155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Таким образом, успешное выполнение роли избирателя требует от человека высокой политической культуры.</w:t>
      </w:r>
    </w:p>
    <w:p w:rsidR="001920B6" w:rsidRDefault="00AA1872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А сейчас давайте поговорим о личности не кандидата, а избирателя.</w:t>
      </w:r>
      <w:r w:rsidR="00FE01A7" w:rsidRPr="00306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0B6" w:rsidRPr="001920B6" w:rsidRDefault="001920B6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AA1872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Какую роль в политике играет отдельная личность?</w:t>
      </w:r>
    </w:p>
    <w:p w:rsidR="001920B6" w:rsidRPr="001920B6" w:rsidRDefault="001920B6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FE01A7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По-разному. Это зависит от политической активности.</w:t>
      </w:r>
    </w:p>
    <w:p w:rsidR="00FE01A7" w:rsidRPr="001920B6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1920B6">
        <w:rPr>
          <w:rFonts w:ascii="Times New Roman" w:hAnsi="Times New Roman" w:cs="Times New Roman"/>
          <w:b/>
          <w:sz w:val="24"/>
          <w:szCs w:val="24"/>
        </w:rPr>
        <w:t>:</w:t>
      </w:r>
    </w:p>
    <w:p w:rsidR="00FE01A7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Проблема личности как субъекта политической деятельности состоит в определении ее возможности влиять на политическую власть. Разумеется, пассивные, аполитичные граждане чаще всего являются объектом политического манипулирования.</w:t>
      </w:r>
    </w:p>
    <w:p w:rsidR="002A2BEA" w:rsidRPr="001920B6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FE01A7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Что же такое политическое манипулирование?</w:t>
      </w:r>
    </w:p>
    <w:p w:rsidR="001920B6" w:rsidRPr="001920B6" w:rsidRDefault="001920B6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FE01A7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 Это управление личностью в политике.</w:t>
      </w:r>
    </w:p>
    <w:p w:rsidR="00FE01A7" w:rsidRPr="001920B6" w:rsidRDefault="001920B6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FE01A7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lastRenderedPageBreak/>
        <w:t>Да, это управление политическим сознанием с целью побуждения гражданина действовать вопреки собственным интересам. Арсенал приемов политического манипулирования разнообразен:</w:t>
      </w:r>
    </w:p>
    <w:p w:rsidR="00FE01A7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- прием «наклеивания ярлыков» - наделение личности каким-либо определением: «демократ», «популист», «националист», который предопределяет последующее восприятие;</w:t>
      </w:r>
    </w:p>
    <w:p w:rsidR="00FE01A7" w:rsidRPr="003063C3" w:rsidRDefault="00FE01A7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- прием «переноса» - использование с целью внушения имен популярно известных личностей «звезд», </w:t>
      </w:r>
      <w:r w:rsidR="002A2BEA" w:rsidRPr="003063C3">
        <w:rPr>
          <w:rFonts w:ascii="Times New Roman" w:hAnsi="Times New Roman" w:cs="Times New Roman"/>
          <w:sz w:val="24"/>
          <w:szCs w:val="24"/>
        </w:rPr>
        <w:t>их популярность как бы переносится на рекламируемого политического кандидата;</w:t>
      </w:r>
    </w:p>
    <w:p w:rsidR="002A2BEA" w:rsidRPr="003063C3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- прием «общего вагона»- стимулирование определенной реакции путем внушения мысл</w:t>
      </w:r>
      <w:proofErr w:type="gramStart"/>
      <w:r w:rsidRPr="003063C3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3063C3">
        <w:rPr>
          <w:rFonts w:ascii="Times New Roman" w:hAnsi="Times New Roman" w:cs="Times New Roman"/>
          <w:sz w:val="24"/>
          <w:szCs w:val="24"/>
        </w:rPr>
        <w:t xml:space="preserve"> общепринятости: «все так думают», «все так поступают»;</w:t>
      </w:r>
    </w:p>
    <w:p w:rsidR="002A2BEA" w:rsidRPr="003063C3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- прием «60х40» - 60% информации должно работать на конечный результат, а 40% ее как бы свидетельствует </w:t>
      </w:r>
      <w:proofErr w:type="gramStart"/>
      <w:r w:rsidRPr="003063C3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3063C3">
        <w:rPr>
          <w:rFonts w:ascii="Times New Roman" w:hAnsi="Times New Roman" w:cs="Times New Roman"/>
          <w:sz w:val="24"/>
          <w:szCs w:val="24"/>
        </w:rPr>
        <w:t>. Тем самым создается впечатление непредвзятости информации.</w:t>
      </w:r>
    </w:p>
    <w:p w:rsidR="002A2BEA" w:rsidRPr="003063C3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Менее всего подвержены манипуляции личности с высокой политической культурой.</w:t>
      </w:r>
    </w:p>
    <w:p w:rsidR="002A2BEA" w:rsidRPr="001920B6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2A2BEA" w:rsidRPr="003063C3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Что вы понимаете под политической культурой?</w:t>
      </w:r>
    </w:p>
    <w:p w:rsidR="002A2BEA" w:rsidRPr="001920B6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2A2BEA" w:rsidRPr="003063C3" w:rsidRDefault="002A2BEA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Это возможность грамотно судить о политических явлениях, принимать </w:t>
      </w:r>
      <w:r w:rsidR="00524CBE" w:rsidRPr="003063C3">
        <w:rPr>
          <w:rFonts w:ascii="Times New Roman" w:hAnsi="Times New Roman" w:cs="Times New Roman"/>
          <w:sz w:val="24"/>
          <w:szCs w:val="24"/>
        </w:rPr>
        <w:t>правильные</w:t>
      </w:r>
      <w:r w:rsidRPr="003063C3">
        <w:rPr>
          <w:rFonts w:ascii="Times New Roman" w:hAnsi="Times New Roman" w:cs="Times New Roman"/>
          <w:sz w:val="24"/>
          <w:szCs w:val="24"/>
        </w:rPr>
        <w:t xml:space="preserve"> решения, проявлять политическую активность.</w:t>
      </w:r>
    </w:p>
    <w:p w:rsidR="002A2BEA" w:rsidRPr="001920B6" w:rsidRDefault="00524CB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524CBE" w:rsidRPr="003063C3" w:rsidRDefault="00524CBE" w:rsidP="00306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Действительно, политическая культура складывается из 3 составляющих:</w:t>
      </w:r>
    </w:p>
    <w:p w:rsidR="00524CBE" w:rsidRPr="003063C3" w:rsidRDefault="00524CBE" w:rsidP="003063C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Политических знаний.</w:t>
      </w:r>
    </w:p>
    <w:p w:rsidR="00524CBE" w:rsidRPr="003063C3" w:rsidRDefault="00524CBE" w:rsidP="003063C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Политических ценностных ориентаций.</w:t>
      </w:r>
    </w:p>
    <w:p w:rsidR="00524CBE" w:rsidRPr="003063C3" w:rsidRDefault="00524CBE" w:rsidP="003063C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Политического поведения.</w:t>
      </w:r>
    </w:p>
    <w:p w:rsidR="00524CBE" w:rsidRPr="003063C3" w:rsidRDefault="00524CBE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Сейчас мы проведем политическую викторину, результаты которой помогут определить уровень политической культуры нашей аудитории. </w:t>
      </w:r>
    </w:p>
    <w:p w:rsidR="00524CBE" w:rsidRPr="003063C3" w:rsidRDefault="00524CBE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(Проводится политическая викторина по заранее подготовленным вопросам).</w:t>
      </w:r>
    </w:p>
    <w:p w:rsidR="00524CBE" w:rsidRPr="001920B6" w:rsidRDefault="00524CBE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B6"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524CBE" w:rsidRPr="003063C3" w:rsidRDefault="00524CBE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Итак, результаты викторины показали, что уровень политической культуры нашей аудитории достаточно высок. Вместе с тем, одних политических знаний для определения степени политической культуры недостаточно. Необходимо активное политическое поведение, подразумевающее участие в выборах, демонстрациях, </w:t>
      </w:r>
      <w:r w:rsidRPr="003063C3">
        <w:rPr>
          <w:rFonts w:ascii="Times New Roman" w:hAnsi="Times New Roman" w:cs="Times New Roman"/>
          <w:sz w:val="24"/>
          <w:szCs w:val="24"/>
        </w:rPr>
        <w:lastRenderedPageBreak/>
        <w:t>митингах, наличие твердой гражданской позиции по вопросам общественно-политической жизни страны.</w:t>
      </w:r>
    </w:p>
    <w:p w:rsidR="003063C3" w:rsidRPr="003063C3" w:rsidRDefault="003063C3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Пришло время</w:t>
      </w:r>
      <w:r w:rsidR="001920B6">
        <w:rPr>
          <w:rFonts w:ascii="Times New Roman" w:hAnsi="Times New Roman" w:cs="Times New Roman"/>
          <w:sz w:val="24"/>
          <w:szCs w:val="24"/>
        </w:rPr>
        <w:t xml:space="preserve"> подвести итоги нашей дискуссии:</w:t>
      </w:r>
    </w:p>
    <w:p w:rsidR="003063C3" w:rsidRPr="003063C3" w:rsidRDefault="001920B6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63C3" w:rsidRPr="003063C3">
        <w:rPr>
          <w:rFonts w:ascii="Times New Roman" w:hAnsi="Times New Roman" w:cs="Times New Roman"/>
          <w:sz w:val="24"/>
          <w:szCs w:val="24"/>
        </w:rPr>
        <w:t>Быть избирателем непросто.</w:t>
      </w:r>
    </w:p>
    <w:p w:rsidR="003063C3" w:rsidRPr="003063C3" w:rsidRDefault="003063C3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 xml:space="preserve"> </w:t>
      </w:r>
      <w:r w:rsidR="001920B6">
        <w:rPr>
          <w:rFonts w:ascii="Times New Roman" w:hAnsi="Times New Roman" w:cs="Times New Roman"/>
          <w:sz w:val="24"/>
          <w:szCs w:val="24"/>
        </w:rPr>
        <w:t xml:space="preserve">- </w:t>
      </w:r>
      <w:r w:rsidRPr="003063C3">
        <w:rPr>
          <w:rFonts w:ascii="Times New Roman" w:hAnsi="Times New Roman" w:cs="Times New Roman"/>
          <w:sz w:val="24"/>
          <w:szCs w:val="24"/>
        </w:rPr>
        <w:t xml:space="preserve">Чтобы сделать правильный выбор, необходима активная гражданская позиция и высокая политическая культура. </w:t>
      </w:r>
    </w:p>
    <w:p w:rsidR="003063C3" w:rsidRPr="003063C3" w:rsidRDefault="001920B6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63C3" w:rsidRPr="003063C3">
        <w:rPr>
          <w:rFonts w:ascii="Times New Roman" w:hAnsi="Times New Roman" w:cs="Times New Roman"/>
          <w:sz w:val="24"/>
          <w:szCs w:val="24"/>
        </w:rPr>
        <w:t>Далеко не каждая личность в политике может рассчитывать на успех, а только решительный, умный, с сильной политической волей человек, ставящий во главу угла интересы страны, честный и последовательный в проведении своей линии.</w:t>
      </w:r>
    </w:p>
    <w:p w:rsidR="003063C3" w:rsidRPr="003063C3" w:rsidRDefault="003063C3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3">
        <w:rPr>
          <w:rFonts w:ascii="Times New Roman" w:hAnsi="Times New Roman" w:cs="Times New Roman"/>
          <w:sz w:val="24"/>
          <w:szCs w:val="24"/>
        </w:rPr>
        <w:t>Благодарим всех за работу и сотрудничество.</w:t>
      </w:r>
    </w:p>
    <w:p w:rsidR="00524CBE" w:rsidRPr="003063C3" w:rsidRDefault="00524CBE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CBE" w:rsidRPr="003063C3" w:rsidRDefault="00524CBE" w:rsidP="003063C3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4CBE" w:rsidRPr="003063C3" w:rsidSect="006F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CFA"/>
    <w:multiLevelType w:val="hybridMultilevel"/>
    <w:tmpl w:val="AD6A6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EEE"/>
    <w:rsid w:val="000026C6"/>
    <w:rsid w:val="000C44AE"/>
    <w:rsid w:val="001049DE"/>
    <w:rsid w:val="00110118"/>
    <w:rsid w:val="00182F2B"/>
    <w:rsid w:val="001920B6"/>
    <w:rsid w:val="002A2BEA"/>
    <w:rsid w:val="002D3EEE"/>
    <w:rsid w:val="003063C3"/>
    <w:rsid w:val="00326437"/>
    <w:rsid w:val="00356B6F"/>
    <w:rsid w:val="0041155E"/>
    <w:rsid w:val="004130FA"/>
    <w:rsid w:val="00524CBE"/>
    <w:rsid w:val="005461F9"/>
    <w:rsid w:val="00611692"/>
    <w:rsid w:val="006F5F7C"/>
    <w:rsid w:val="007A5A58"/>
    <w:rsid w:val="008035E6"/>
    <w:rsid w:val="00871A1B"/>
    <w:rsid w:val="00877F9F"/>
    <w:rsid w:val="008F6687"/>
    <w:rsid w:val="00AA1872"/>
    <w:rsid w:val="00B46AE4"/>
    <w:rsid w:val="00BB23AD"/>
    <w:rsid w:val="00C25192"/>
    <w:rsid w:val="00CA7586"/>
    <w:rsid w:val="00F60315"/>
    <w:rsid w:val="00FE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2014-05-16T10:32:00Z</dcterms:created>
  <dcterms:modified xsi:type="dcterms:W3CDTF">2014-05-16T11:36:00Z</dcterms:modified>
</cp:coreProperties>
</file>