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0"/>
        <w:jc w:val="center"/>
        <w:spacing w:line="274" w:lineRule="exact"/>
        <w:rPr>
          <w:lang w:eastAsia="ru-RU"/>
        </w:rPr>
      </w:pPr>
      <w:r>
        <w:rPr>
          <w:lang w:eastAsia="ru-RU"/>
        </w:rPr>
        <w:t xml:space="preserve">МИНИСТЕРСТВО ОБРАЗОВАНИЯ, НАУКИ И МОЛОДЕЖНОЙ ПОЛИТИКИ </w:t>
      </w:r>
      <w:r/>
    </w:p>
    <w:p>
      <w:pPr>
        <w:ind w:right="10"/>
        <w:jc w:val="center"/>
        <w:spacing w:line="274" w:lineRule="exact"/>
        <w:rPr>
          <w:lang w:eastAsia="ru-RU"/>
        </w:rPr>
      </w:pPr>
      <w:r>
        <w:rPr>
          <w:lang w:eastAsia="ru-RU"/>
        </w:rPr>
        <w:t xml:space="preserve">КРАСНОДАРСКОГО КРАЯ</w:t>
      </w:r>
      <w:r/>
    </w:p>
    <w:p>
      <w:pPr>
        <w:ind w:right="10" w:hanging="142"/>
        <w:jc w:val="center"/>
        <w:spacing w:line="274" w:lineRule="exact"/>
        <w:rPr>
          <w:b/>
          <w:lang w:eastAsia="ru-RU"/>
        </w:rPr>
      </w:pPr>
      <w:r>
        <w:rPr>
          <w:lang w:eastAsia="ru-RU"/>
        </w:rPr>
        <w:t xml:space="preserve">  Государственное автономное профессиональное образовательное учреждение Краснодарского края</w:t>
      </w:r>
      <w:r/>
    </w:p>
    <w:p>
      <w:pPr>
        <w:ind w:right="10"/>
        <w:jc w:val="center"/>
        <w:spacing w:line="274" w:lineRule="exact"/>
        <w:rPr>
          <w:b/>
          <w:lang w:eastAsia="ru-RU"/>
        </w:rPr>
      </w:pPr>
      <w:r>
        <w:rPr>
          <w:b/>
          <w:lang w:eastAsia="ru-RU"/>
        </w:rPr>
        <w:t xml:space="preserve">«НОВОРОССИЙСКИЙ КОЛЛЕДЖ СТРОИТЕЛЬСТВА И ЭКОНОМИКИ»</w:t>
      </w:r>
      <w:r/>
    </w:p>
    <w:p>
      <w:pPr>
        <w:ind w:right="10"/>
        <w:jc w:val="center"/>
        <w:spacing w:line="274" w:lineRule="exact"/>
        <w:rPr>
          <w:b/>
          <w:lang w:eastAsia="ru-RU"/>
        </w:rPr>
      </w:pPr>
      <w:r>
        <w:rPr>
          <w:b/>
          <w:lang w:eastAsia="ru-RU"/>
        </w:rPr>
        <w:t xml:space="preserve">(ГАПОУ КК «НКСЭ)</w:t>
      </w:r>
      <w:r/>
    </w:p>
    <w:p>
      <w:pPr>
        <w:jc w:val="center"/>
        <w:keepLines/>
        <w:keepNext/>
        <w:spacing w:line="360" w:lineRule="auto"/>
        <w:rPr>
          <w:b/>
          <w:sz w:val="28"/>
          <w:szCs w:val="28"/>
          <w:lang w:eastAsia="ru-RU"/>
        </w:rPr>
        <w:suppressLineNumbers/>
      </w:pPr>
      <w:r>
        <w:rPr>
          <w:b/>
          <w:sz w:val="28"/>
          <w:szCs w:val="28"/>
          <w:lang w:eastAsia="ru-RU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25"/>
        <w:ind w:right="-1" w:firstLine="0"/>
        <w:jc w:val="center"/>
        <w:spacing w:line="274" w:lineRule="exact"/>
        <w:widowControl/>
        <w:rPr>
          <w:rStyle w:val="726"/>
          <w:b/>
        </w:rPr>
      </w:pPr>
      <w:r>
        <w:rPr>
          <w:b/>
        </w:rPr>
      </w:r>
      <w:r/>
    </w:p>
    <w:p>
      <w:pPr>
        <w:ind w:right="-1"/>
        <w:jc w:val="center"/>
        <w:spacing w:line="360" w:lineRule="auto"/>
        <w:rPr>
          <w:b/>
        </w:rPr>
      </w:pPr>
      <w:r>
        <w:rPr>
          <w:b/>
        </w:rPr>
        <w:t xml:space="preserve">РАБОЧАЯ ПРОГРАММА</w:t>
      </w:r>
      <w:r/>
    </w:p>
    <w:p>
      <w:pPr>
        <w:ind w:right="-1"/>
        <w:jc w:val="center"/>
        <w:spacing w:line="360" w:lineRule="auto"/>
        <w:rPr>
          <w:b/>
        </w:rPr>
      </w:pPr>
      <w:r>
        <w:rPr>
          <w:b/>
        </w:rPr>
        <w:t xml:space="preserve">учебной дисциплины</w:t>
      </w:r>
      <w:r>
        <w:rPr>
          <w:b/>
        </w:rPr>
        <w:t xml:space="preserve"> ОП.03</w:t>
      </w:r>
      <w:r>
        <w:rPr>
          <w:b/>
        </w:rPr>
        <w:t xml:space="preserve"> «</w:t>
      </w:r>
      <w:r>
        <w:rPr>
          <w:b/>
        </w:rPr>
        <w:t xml:space="preserve">Рисунок и живопись</w:t>
      </w:r>
      <w:r>
        <w:rPr>
          <w:b/>
        </w:rPr>
        <w:t xml:space="preserve">»</w:t>
      </w:r>
      <w:r/>
    </w:p>
    <w:p>
      <w:pPr>
        <w:ind w:right="-1"/>
        <w:jc w:val="center"/>
        <w:spacing w:line="360" w:lineRule="auto"/>
        <w:rPr>
          <w:rStyle w:val="724"/>
        </w:rPr>
      </w:pPr>
      <w:r>
        <w:rPr>
          <w:b/>
        </w:rPr>
        <w:t xml:space="preserve">для специальности </w:t>
      </w:r>
      <w:r>
        <w:rPr>
          <w:rStyle w:val="724"/>
          <w:spacing w:val="-10"/>
        </w:rPr>
        <w:t xml:space="preserve">07.02.01 </w:t>
      </w:r>
      <w:r>
        <w:rPr>
          <w:rStyle w:val="724"/>
        </w:rPr>
        <w:t xml:space="preserve"> «</w:t>
      </w:r>
      <w:r>
        <w:rPr>
          <w:rStyle w:val="724"/>
          <w:spacing w:val="-10"/>
        </w:rPr>
        <w:t xml:space="preserve">Архитектура</w:t>
      </w:r>
      <w:r>
        <w:rPr>
          <w:rStyle w:val="724"/>
          <w:spacing w:val="-10"/>
        </w:rPr>
        <w:t xml:space="preserve">»</w:t>
      </w:r>
      <w:r/>
    </w:p>
    <w:p>
      <w:pPr>
        <w:ind w:right="-1"/>
        <w:jc w:val="center"/>
        <w:spacing w:line="360" w:lineRule="auto"/>
        <w:rPr>
          <w:rStyle w:val="724"/>
          <w:b w:val="0"/>
          <w:spacing w:val="-10"/>
        </w:rPr>
      </w:pPr>
      <w:r>
        <w:rPr>
          <w:rStyle w:val="724"/>
          <w:b w:val="0"/>
          <w:spacing w:val="-10"/>
        </w:rPr>
        <w:t xml:space="preserve">(базовая подготовка)</w:t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center"/>
        <w:spacing w:line="276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rPr>
          <w:b/>
        </w:rPr>
      </w:r>
      <w:r/>
    </w:p>
    <w:p>
      <w:pPr>
        <w:jc w:val="center"/>
        <w:spacing w:after="200" w:line="276" w:lineRule="auto"/>
        <w:rPr>
          <w:bCs/>
        </w:rPr>
      </w:pPr>
      <w:r>
        <w:rPr>
          <w:bCs/>
        </w:rPr>
        <w:t xml:space="preserve">20</w:t>
      </w:r>
      <w:r>
        <w:rPr>
          <w:bCs/>
        </w:rPr>
        <w:t xml:space="preserve">2</w:t>
      </w:r>
      <w:r>
        <w:rPr>
          <w:bCs/>
        </w:rPr>
        <w:t xml:space="preserve">2</w:t>
      </w:r>
      <w:r>
        <w:rPr>
          <w:bCs/>
        </w:rPr>
        <w:t xml:space="preserve"> год</w:t>
      </w:r>
      <w:r>
        <w:rPr>
          <w:bCs/>
        </w:rPr>
        <w:br w:type="page" w:clear="all"/>
      </w:r>
      <w:r/>
    </w:p>
    <w:p>
      <w:pPr>
        <w:ind w:right="-1"/>
        <w:jc w:val="center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</w:rPr>
      </w:pPr>
      <w:r>
        <w:rPr>
          <w:bCs/>
        </w:rPr>
      </w:r>
      <w:r/>
    </w:p>
    <w:tbl>
      <w:tblPr>
        <w:tblW w:w="9606" w:type="dxa"/>
        <w:tblLook w:val="01E0" w:firstRow="1" w:lastRow="1" w:firstColumn="1" w:lastColumn="1" w:noHBand="0" w:noVBand="0"/>
      </w:tblPr>
      <w:tblGrid>
        <w:gridCol w:w="3156"/>
        <w:gridCol w:w="3615"/>
        <w:gridCol w:w="2835"/>
      </w:tblGrid>
      <w:tr>
        <w:trPr/>
        <w:tc>
          <w:tcPr>
            <w:tcW w:w="3156" w:type="dxa"/>
            <w:textDirection w:val="lrTb"/>
            <w:noWrap w:val="false"/>
          </w:tcPr>
          <w:p>
            <w:pPr>
              <w:ind w:right="-1"/>
              <w:jc w:val="center"/>
            </w:pPr>
            <w:r>
              <w:t xml:space="preserve">УТВЕРЖДАЮ</w:t>
            </w:r>
            <w:r/>
          </w:p>
          <w:p>
            <w:pPr>
              <w:ind w:right="-1"/>
              <w:jc w:val="center"/>
            </w:pPr>
            <w:r/>
            <w:r/>
          </w:p>
          <w:p>
            <w:pPr>
              <w:ind w:right="-1"/>
            </w:pPr>
            <w:r>
              <w:t xml:space="preserve">Зам. директора по УР 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>
              <w:t xml:space="preserve">_______</w:t>
            </w:r>
            <w:r>
              <w:t xml:space="preserve">__</w:t>
            </w:r>
            <w:r>
              <w:t xml:space="preserve">_</w:t>
            </w:r>
            <w:r>
              <w:t xml:space="preserve">____</w:t>
            </w:r>
            <w:r/>
          </w:p>
          <w:p>
            <w:pPr>
              <w:ind w:right="-1"/>
            </w:pPr>
            <w:r>
              <w:t xml:space="preserve">М.А. Кондратюк 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>
              <w:t xml:space="preserve">«___»_</w:t>
            </w:r>
            <w:r>
              <w:t xml:space="preserve">______</w:t>
            </w:r>
            <w:r>
              <w:t xml:space="preserve">____</w:t>
            </w:r>
            <w:r>
              <w:t xml:space="preserve">20</w:t>
            </w:r>
            <w:r>
              <w:t xml:space="preserve">2</w:t>
            </w:r>
            <w:r>
              <w:t xml:space="preserve">2</w:t>
            </w:r>
            <w:r>
              <w:t xml:space="preserve">г.</w:t>
            </w:r>
            <w:r/>
          </w:p>
        </w:tc>
        <w:tc>
          <w:tcPr>
            <w:tcW w:w="3615" w:type="dxa"/>
            <w:textDirection w:val="lrTb"/>
            <w:noWrap w:val="false"/>
          </w:tcPr>
          <w:p>
            <w:pPr>
              <w:ind w:right="-1"/>
              <w:jc w:val="center"/>
            </w:pPr>
            <w:r>
              <w:t xml:space="preserve">ОДОБРЕНА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>
              <w:t xml:space="preserve">на заседании ЦМК </w:t>
            </w:r>
            <w:r/>
          </w:p>
          <w:p>
            <w:pPr>
              <w:ind w:right="-1"/>
              <w:rPr>
                <w:iCs/>
              </w:rPr>
            </w:pPr>
            <w:r>
              <w:rPr>
                <w:iCs/>
              </w:rPr>
              <w:t xml:space="preserve">«</w:t>
            </w:r>
            <w:r>
              <w:rPr>
                <w:iCs/>
              </w:rPr>
              <w:t xml:space="preserve">дисциплин специальностей сервиса и рекламы</w:t>
            </w:r>
            <w:r>
              <w:rPr>
                <w:iCs/>
              </w:rPr>
              <w:t xml:space="preserve">»</w:t>
            </w:r>
            <w:r/>
          </w:p>
          <w:p>
            <w:pPr>
              <w:ind w:right="-1"/>
            </w:pPr>
            <w:r>
              <w:t xml:space="preserve">протокол № ____ </w:t>
            </w:r>
            <w:r/>
          </w:p>
          <w:p>
            <w:pPr>
              <w:ind w:right="-1"/>
            </w:pPr>
            <w:r>
              <w:t xml:space="preserve">от «_</w:t>
            </w:r>
            <w:r>
              <w:t xml:space="preserve">_</w:t>
            </w:r>
            <w:r>
              <w:t xml:space="preserve">_»_</w:t>
            </w:r>
            <w:r>
              <w:t xml:space="preserve">______</w:t>
            </w:r>
            <w:r>
              <w:t xml:space="preserve">____20</w:t>
            </w:r>
            <w:r>
              <w:t xml:space="preserve">2</w:t>
            </w:r>
            <w:r>
              <w:t xml:space="preserve">2</w:t>
            </w:r>
            <w:r>
              <w:t xml:space="preserve"> </w:t>
            </w:r>
            <w:r>
              <w:t xml:space="preserve">г. 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>
              <w:t xml:space="preserve">Председатель ЦМК 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>
              <w:t xml:space="preserve">______</w:t>
            </w:r>
            <w:r>
              <w:t xml:space="preserve">___</w:t>
            </w:r>
            <w:r>
              <w:t xml:space="preserve">_</w:t>
            </w:r>
            <w:r>
              <w:t xml:space="preserve"> </w:t>
            </w:r>
            <w:r>
              <w:t xml:space="preserve">Л.А. </w:t>
            </w:r>
            <w:r>
              <w:t xml:space="preserve">Будылдина</w:t>
            </w:r>
            <w:r>
              <w:t xml:space="preserve"> </w:t>
            </w:r>
            <w:r>
              <w:t xml:space="preserve"> </w:t>
            </w:r>
            <w:r/>
          </w:p>
          <w:p>
            <w:pPr>
              <w:ind w:right="-1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34"/>
              <w:jc w:val="both"/>
              <w:widowControl w:val="off"/>
              <w:tabs>
                <w:tab w:val="left" w:pos="0" w:leader="none"/>
              </w:tabs>
            </w:pPr>
            <w:r>
              <w:t xml:space="preserve">Рабочая программа составлена на основании ФГОС СПО  для укрупненной группы 07.00.00 «Архитектура»</w:t>
            </w:r>
            <w:r/>
          </w:p>
          <w:p>
            <w:pPr>
              <w:ind w:right="34"/>
              <w:jc w:val="both"/>
              <w:widowControl w:val="off"/>
              <w:tabs>
                <w:tab w:val="left" w:pos="0" w:leader="none"/>
              </w:tabs>
            </w:pPr>
            <w:r>
              <w:t xml:space="preserve">для специальности 07.02.01 «Архитектура»</w:t>
            </w:r>
            <w:r/>
          </w:p>
          <w:p>
            <w:pPr>
              <w:ind w:right="34"/>
              <w:jc w:val="both"/>
              <w:widowControl w:val="off"/>
              <w:tabs>
                <w:tab w:val="left" w:pos="0" w:leader="none"/>
              </w:tabs>
            </w:pPr>
            <w:r>
              <w:t xml:space="preserve">Приказ Министерства образования и науки РФ </w:t>
            </w:r>
            <w:r/>
          </w:p>
          <w:p>
            <w:pPr>
              <w:ind w:right="-1"/>
              <w:jc w:val="both"/>
              <w:tabs>
                <w:tab w:val="left" w:pos="2748" w:leader="none"/>
              </w:tabs>
            </w:pPr>
            <w:r>
              <w:t xml:space="preserve">№ 692 от 04.10.2021г., Зарегистрирован в Минюсте приказ № 65795 от 12.11.2021г.</w:t>
            </w:r>
            <w:r/>
          </w:p>
        </w:tc>
      </w:tr>
      <w:tr>
        <w:trPr/>
        <w:tc>
          <w:tcPr>
            <w:tcW w:w="3156" w:type="dxa"/>
            <w:textDirection w:val="lrTb"/>
            <w:noWrap w:val="false"/>
          </w:tcPr>
          <w:p>
            <w:pPr>
              <w:ind w:right="-1"/>
              <w:jc w:val="center"/>
            </w:pPr>
            <w:r/>
            <w:r/>
          </w:p>
          <w:p>
            <w:pPr>
              <w:ind w:right="-1"/>
              <w:jc w:val="center"/>
            </w:pPr>
            <w:r/>
            <w:r/>
          </w:p>
        </w:tc>
        <w:tc>
          <w:tcPr>
            <w:tcW w:w="3615" w:type="dxa"/>
            <w:textDirection w:val="lrTb"/>
            <w:noWrap w:val="false"/>
          </w:tcPr>
          <w:p>
            <w:pPr>
              <w:ind w:right="-1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2748" w:leader="none"/>
              </w:tabs>
            </w:pPr>
            <w:r/>
            <w:r/>
          </w:p>
        </w:tc>
      </w:tr>
      <w:tr>
        <w:trPr/>
        <w:tc>
          <w:tcPr>
            <w:tcW w:w="3156" w:type="dxa"/>
            <w:textDirection w:val="lrTb"/>
            <w:noWrap w:val="false"/>
          </w:tcPr>
          <w:p>
            <w:pPr>
              <w:ind w:right="-1"/>
              <w:jc w:val="center"/>
            </w:pPr>
            <w:r>
              <w:rPr>
                <w:lang w:val="en-US"/>
              </w:rPr>
              <w:t xml:space="preserve">C</w:t>
            </w:r>
            <w:r>
              <w:t xml:space="preserve">ОГЛАСОВАНО</w:t>
            </w:r>
            <w:r/>
          </w:p>
          <w:p>
            <w:pPr>
              <w:ind w:right="-1"/>
            </w:pPr>
            <w:r>
              <w:t xml:space="preserve">научно-методический                                                           </w:t>
            </w:r>
            <w:r/>
          </w:p>
          <w:p>
            <w:pPr>
              <w:ind w:right="-1"/>
            </w:pPr>
            <w:r>
              <w:t xml:space="preserve">совет   протокол №___                                               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>
              <w:t xml:space="preserve">от </w:t>
            </w:r>
            <w:r>
              <w:t xml:space="preserve">«__»___________</w:t>
            </w:r>
            <w:r>
              <w:t xml:space="preserve">20</w:t>
            </w:r>
            <w:r>
              <w:t xml:space="preserve">2</w:t>
            </w:r>
            <w:r>
              <w:t xml:space="preserve">2</w:t>
            </w:r>
            <w:r>
              <w:t xml:space="preserve"> </w:t>
            </w:r>
            <w:r>
              <w:t xml:space="preserve">г.  </w:t>
            </w:r>
            <w:r/>
          </w:p>
          <w:p>
            <w:pPr>
              <w:ind w:right="-1"/>
            </w:pPr>
            <w:r>
              <w:t xml:space="preserve">                                                                       </w:t>
            </w:r>
            <w:r/>
          </w:p>
          <w:p>
            <w:pPr>
              <w:ind w:right="-1"/>
            </w:pPr>
            <w:r>
              <w:t xml:space="preserve">____________</w:t>
            </w:r>
            <w:r>
              <w:t xml:space="preserve"> Э.М. Ребрина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/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Разработчик: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  <w:u w:val="single"/>
              </w:rPr>
              <w:t xml:space="preserve">Сысина Г.А.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Рецензенты: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_____________________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</w:r>
            <w:r/>
          </w:p>
          <w:p>
            <w:pPr>
              <w:ind w:right="-1"/>
            </w:pPr>
            <w:r>
              <w:rPr>
                <w:bCs/>
              </w:rPr>
              <w:t xml:space="preserve">_____________________ 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_____________________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_____________________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_____________________</w:t>
            </w:r>
            <w:r/>
          </w:p>
          <w:p>
            <w:pPr>
              <w:ind w:right="-1"/>
              <w:rPr>
                <w:bCs/>
              </w:rPr>
            </w:pPr>
            <w:r>
              <w:rPr>
                <w:bCs/>
              </w:rPr>
              <w:t xml:space="preserve">_____________________</w:t>
            </w:r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/>
            <w:r/>
          </w:p>
          <w:p>
            <w:pPr>
              <w:ind w:right="-1"/>
            </w:pPr>
            <w:r/>
            <w:r/>
          </w:p>
        </w:tc>
        <w:tc>
          <w:tcPr>
            <w:tcW w:w="3615" w:type="dxa"/>
            <w:textDirection w:val="lrTb"/>
            <w:noWrap w:val="false"/>
          </w:tcPr>
          <w:p>
            <w:pPr>
              <w:ind w:right="-1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</w:pPr>
            <w:r/>
            <w:r/>
          </w:p>
        </w:tc>
      </w:tr>
    </w:tbl>
    <w:p>
      <w:pPr>
        <w:ind w:right="-1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/>
        <w:spacing w:after="200" w:line="276" w:lineRule="auto"/>
        <w:rPr>
          <w:rStyle w:val="726"/>
          <w:sz w:val="24"/>
          <w:szCs w:val="24"/>
        </w:rPr>
      </w:pPr>
      <w:r>
        <w:rPr>
          <w:b/>
          <w:sz w:val="28"/>
          <w:szCs w:val="28"/>
        </w:rPr>
        <w:br w:type="page" w:clear="all"/>
      </w:r>
      <w:r/>
    </w:p>
    <w:p>
      <w:pPr>
        <w:ind w:right="-1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/>
    </w:p>
    <w:p>
      <w:pPr>
        <w:ind w:right="-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>
        <w:trPr/>
        <w:tc>
          <w:tcPr>
            <w:tcW w:w="7668" w:type="dxa"/>
            <w:textDirection w:val="lrTb"/>
            <w:noWrap w:val="false"/>
          </w:tcPr>
          <w:p>
            <w:pPr>
              <w:pStyle w:val="707"/>
              <w:ind w:right="-1" w:firstLine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</w:t>
            </w:r>
            <w:r/>
          </w:p>
        </w:tc>
      </w:tr>
      <w:tr>
        <w:trPr/>
        <w:tc>
          <w:tcPr>
            <w:tcW w:w="7668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both"/>
              <w:rPr>
                <w:b/>
              </w:rPr>
            </w:pPr>
            <w:r>
              <w:rPr>
                <w:b/>
              </w:rPr>
              <w:t xml:space="preserve">ОБЩАЯ ХАРАКТЕРИСТИКА </w:t>
            </w:r>
            <w:r>
              <w:rPr>
                <w:b/>
              </w:rPr>
              <w:t xml:space="preserve">РАБОЧЕЙ ПРОГРАММЫ УЧЕБНОЙ ДИСЦИПЛИНЫ</w:t>
            </w:r>
            <w:r/>
          </w:p>
          <w:p>
            <w:pPr>
              <w:ind w:right="-1"/>
            </w:pPr>
            <w:r/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7668" w:type="dxa"/>
            <w:textDirection w:val="lrTb"/>
            <w:noWrap w:val="false"/>
          </w:tcPr>
          <w:p>
            <w:pPr>
              <w:pStyle w:val="707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2. </w:t>
            </w:r>
            <w:r>
              <w:rPr>
                <w:b/>
                <w:caps/>
              </w:rPr>
              <w:t xml:space="preserve">СТРУКТУРА и содержание УЧЕБНОЙ ДИСЦИПЛИНЫ</w:t>
            </w:r>
            <w:r/>
          </w:p>
          <w:p>
            <w:pPr>
              <w:pStyle w:val="707"/>
              <w:ind w:right="-1" w:firstLine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/>
          </w:p>
        </w:tc>
      </w:tr>
      <w:tr>
        <w:trPr>
          <w:trHeight w:val="670"/>
        </w:trPr>
        <w:tc>
          <w:tcPr>
            <w:tcW w:w="7668" w:type="dxa"/>
            <w:textDirection w:val="lrTb"/>
            <w:noWrap w:val="false"/>
          </w:tcPr>
          <w:p>
            <w:pPr>
              <w:pStyle w:val="707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3. </w:t>
            </w:r>
            <w:r>
              <w:rPr>
                <w:b/>
                <w:caps/>
              </w:rPr>
              <w:t xml:space="preserve">условия реализации  учебной дисциплины</w:t>
            </w:r>
            <w:r/>
          </w:p>
          <w:p>
            <w:pPr>
              <w:pStyle w:val="707"/>
              <w:ind w:right="-1"/>
              <w:jc w:val="both"/>
              <w:tabs>
                <w:tab w:val="left" w:pos="0" w:leader="none"/>
              </w:tabs>
              <w:rPr>
                <w:b/>
                <w:caps/>
              </w:rPr>
            </w:pPr>
            <w:r>
              <w:rPr>
                <w:b/>
                <w:caps/>
              </w:rPr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3</w:t>
            </w:r>
            <w:r/>
          </w:p>
        </w:tc>
      </w:tr>
      <w:tr>
        <w:trPr/>
        <w:tc>
          <w:tcPr>
            <w:tcW w:w="7668" w:type="dxa"/>
            <w:textDirection w:val="lrTb"/>
            <w:noWrap w:val="false"/>
          </w:tcPr>
          <w:p>
            <w:pPr>
              <w:pStyle w:val="707"/>
              <w:numPr>
                <w:ilvl w:val="0"/>
                <w:numId w:val="1"/>
              </w:numPr>
              <w:ind w:left="0" w:right="-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4. </w:t>
            </w:r>
            <w:r>
              <w:rPr>
                <w:b/>
                <w:caps/>
              </w:rPr>
              <w:t xml:space="preserve">Контроль и оценка результатов Освоения учебной дисциплины</w:t>
            </w:r>
            <w:r/>
          </w:p>
          <w:p>
            <w:pPr>
              <w:pStyle w:val="707"/>
              <w:ind w:right="-1" w:firstLine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15</w:t>
            </w:r>
            <w:r/>
          </w:p>
          <w:p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ind w:right="-1" w:firstLine="709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i/>
        </w:rPr>
      </w:pPr>
      <w:r>
        <w:rPr>
          <w:i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733"/>
        <w:ind w:left="0"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jc w:val="center"/>
        <w:rPr>
          <w:b/>
        </w:rPr>
      </w:pPr>
      <w:r>
        <w:rPr>
          <w:b/>
        </w:rPr>
        <w:t xml:space="preserve">1.</w:t>
      </w:r>
      <w:r>
        <w:rPr>
          <w:b/>
        </w:rPr>
        <w:t xml:space="preserve"> ОБЩАЯ ХАРАКТЕРИСТИКА </w:t>
      </w:r>
      <w:r>
        <w:rPr>
          <w:b/>
        </w:rPr>
        <w:t xml:space="preserve">РАБОЧЕЙ ПРОГРАММЫ УЧЕБНОЙ ДИСЦИПЛИНЫ ОП.03 </w:t>
      </w:r>
      <w:r>
        <w:rPr>
          <w:b/>
        </w:rPr>
        <w:t xml:space="preserve">«</w:t>
      </w:r>
      <w:r>
        <w:rPr>
          <w:b/>
        </w:rPr>
        <w:t xml:space="preserve">РИСУНОК И ЖИВОПИСЬ</w:t>
      </w:r>
      <w:r>
        <w:rPr>
          <w:b/>
        </w:rPr>
        <w:t xml:space="preserve">»</w:t>
      </w:r>
      <w:r/>
    </w:p>
    <w:p>
      <w:pPr>
        <w:ind w:firstLine="709"/>
      </w:pPr>
      <w:r>
        <w:t xml:space="preserve">                                    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b/>
        </w:rPr>
        <w:t xml:space="preserve">1.1. Место дисциплины в структуре основной образовательной программы: </w:t>
      </w:r>
      <w:r>
        <w:tab/>
      </w:r>
      <w:r/>
    </w:p>
    <w:p>
      <w:pPr>
        <w:ind w:right="141" w:firstLine="709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</w:rPr>
      </w:pPr>
      <w:r>
        <w:rPr>
          <w:color w:val="000000"/>
        </w:rPr>
        <w:t xml:space="preserve">Учебная дисциплина ОП.03 </w:t>
      </w:r>
      <w:r>
        <w:rPr>
          <w:color w:val="000000"/>
        </w:rPr>
        <w:t xml:space="preserve">«</w:t>
      </w:r>
      <w:r>
        <w:rPr>
          <w:color w:val="000000"/>
        </w:rPr>
        <w:t xml:space="preserve">Рисунок и живопись</w:t>
      </w:r>
      <w:r>
        <w:rPr>
          <w:color w:val="000000"/>
        </w:rPr>
        <w:t xml:space="preserve">»</w:t>
      </w:r>
      <w:r>
        <w:rPr>
          <w:color w:val="000000"/>
        </w:rPr>
        <w:t xml:space="preserve"> является обязательной частью общепр</w:t>
      </w:r>
      <w:r>
        <w:rPr>
          <w:color w:val="000000"/>
        </w:rPr>
        <w:t xml:space="preserve">офессионального цикла </w:t>
      </w:r>
      <w:r>
        <w:rPr>
          <w:color w:val="000000"/>
        </w:rPr>
        <w:t xml:space="preserve">основной образовательной программы в соответствии с ФГОС по специальности 07.02.01 </w:t>
      </w:r>
      <w:r>
        <w:rPr>
          <w:color w:val="000000"/>
        </w:rPr>
        <w:t xml:space="preserve">«</w:t>
      </w:r>
      <w:r>
        <w:rPr>
          <w:color w:val="000000"/>
        </w:rPr>
        <w:t xml:space="preserve">Архитектура</w:t>
      </w:r>
      <w:r>
        <w:rPr>
          <w:color w:val="000000"/>
        </w:rPr>
        <w:t xml:space="preserve">»</w:t>
      </w:r>
      <w:r>
        <w:rPr>
          <w:color w:val="000000"/>
        </w:rPr>
        <w:t xml:space="preserve">. </w:t>
      </w:r>
      <w:r/>
    </w:p>
    <w:p>
      <w:pPr>
        <w:ind w:right="141" w:firstLine="709"/>
        <w:jc w:val="both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</w:rPr>
      </w:pPr>
      <w:r>
        <w:rPr>
          <w:color w:val="000000"/>
        </w:rPr>
        <w:t xml:space="preserve">Особое значение дисциплина имеет при формировании и развитии</w:t>
      </w:r>
      <w:r>
        <w:rPr>
          <w:color w:val="000000"/>
        </w:rPr>
        <w:t xml:space="preserve"> ОК 01, 04.</w:t>
      </w:r>
      <w:r/>
    </w:p>
    <w:p>
      <w:pPr>
        <w:ind w:firstLine="709"/>
        <w:rPr>
          <w:b/>
        </w:rPr>
      </w:pPr>
      <w:r>
        <w:rPr>
          <w:b/>
        </w:rPr>
      </w:r>
      <w:r/>
    </w:p>
    <w:p>
      <w:pPr>
        <w:ind w:firstLine="709"/>
        <w:rPr>
          <w:b/>
        </w:rPr>
      </w:pPr>
      <w:r>
        <w:rPr>
          <w:b/>
        </w:rPr>
        <w:t xml:space="preserve">1.2. Цель и планируемые результаты освоения дисциплины:   </w:t>
      </w:r>
      <w:r/>
    </w:p>
    <w:p>
      <w:pPr>
        <w:ind w:firstLine="709"/>
        <w:jc w:val="both"/>
        <w:rPr>
          <w:lang w:eastAsia="en-US"/>
        </w:rPr>
      </w:pPr>
      <w:r>
        <w:t xml:space="preserve">В рамках программы учебной дисциплины обучающимися осваиваются умения и знания</w:t>
      </w:r>
      <w:r/>
    </w:p>
    <w:tbl>
      <w:tblPr>
        <w:tblW w:w="9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3402"/>
        <w:gridCol w:w="4037"/>
      </w:tblGrid>
      <w:tr>
        <w:trPr>
          <w:trHeight w:val="649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Код </w:t>
            </w:r>
            <w:r/>
          </w:p>
          <w:p>
            <w:pPr>
              <w:jc w:val="center"/>
            </w:pPr>
            <w:r>
              <w:t xml:space="preserve">ОК</w:t>
            </w:r>
            <w:r>
              <w:t xml:space="preserve">, ПК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Умения</w:t>
            </w:r>
            <w:r/>
          </w:p>
        </w:tc>
        <w:tc>
          <w:tcPr>
            <w:tcW w:w="4037" w:type="dxa"/>
            <w:textDirection w:val="lrTb"/>
            <w:noWrap w:val="false"/>
          </w:tcPr>
          <w:p>
            <w:pPr>
              <w:jc w:val="center"/>
            </w:pPr>
            <w:r>
              <w:t xml:space="preserve">Знания</w:t>
            </w:r>
            <w:r/>
          </w:p>
        </w:tc>
      </w:tr>
      <w:tr>
        <w:trPr>
          <w:trHeight w:val="212"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ОК 01, ОК 04,  ПК 1.1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- определять этапы решения задач;</w:t>
            </w:r>
            <w:r/>
          </w:p>
          <w:p>
            <w:pPr>
              <w:jc w:val="both"/>
            </w:pPr>
            <w:r>
              <w:rPr>
                <w:bCs/>
              </w:rPr>
              <w:t xml:space="preserve">- взаимодействует с коллегами и преподавателем в ходе работы над рисунком;</w:t>
            </w:r>
            <w:r/>
          </w:p>
          <w:p>
            <w:pPr>
              <w:jc w:val="both"/>
            </w:pPr>
            <w:r>
              <w:t xml:space="preserve">- изображать отдельные предметы, группы предметов, архитектурные и другие формы с натуры с учетом перспективных сокращений;</w:t>
            </w:r>
            <w:r/>
          </w:p>
          <w:p>
            <w:pPr>
              <w:jc w:val="both"/>
            </w:pPr>
            <w:r>
              <w:t xml:space="preserve">- определять в процессе анализа основные пропорции, составляющие композицию предметов   и правильно располагать их на листе определенного формата;</w:t>
            </w:r>
            <w:r/>
          </w:p>
          <w:p>
            <w:pPr>
              <w:jc w:val="both"/>
            </w:pPr>
            <w:r>
              <w:t xml:space="preserve">- пользоваться различными изобразительными материалами и техническими приемами</w:t>
            </w:r>
            <w:r>
              <w:rPr>
                <w:spacing w:val="-6"/>
                <w:lang w:eastAsia="zh-CN"/>
              </w:rPr>
              <w:t xml:space="preserve">.</w:t>
            </w:r>
            <w:r/>
          </w:p>
        </w:tc>
        <w:tc>
          <w:tcPr>
            <w:tcW w:w="4037" w:type="dxa"/>
            <w:textDirection w:val="lrTb"/>
            <w:noWrap w:val="false"/>
          </w:tcPr>
          <w:p>
            <w:pPr>
              <w:jc w:val="both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 xml:space="preserve">- методов самоанализа и коррекции своей деятельности на основании достигнутых результатов;</w:t>
            </w:r>
            <w:r/>
          </w:p>
          <w:p>
            <w:pPr>
              <w:jc w:val="both"/>
            </w:pPr>
            <w:r>
              <w:t xml:space="preserve">-</w:t>
            </w:r>
            <w:r>
              <w:rPr>
                <w:lang w:val="en-US"/>
              </w:rPr>
              <w:t xml:space="preserve"> </w:t>
            </w:r>
            <w:r>
              <w:t xml:space="preserve">принципы образования структуры объема и его формообразующие элементы;</w:t>
            </w:r>
            <w:r/>
          </w:p>
          <w:p>
            <w:pPr>
              <w:jc w:val="both"/>
            </w:pPr>
            <w:r>
              <w:t xml:space="preserve">-</w:t>
            </w:r>
            <w:r>
              <w:rPr>
                <w:lang w:val="en-US"/>
              </w:rPr>
              <w:t xml:space="preserve"> </w:t>
            </w:r>
            <w:r>
              <w:t xml:space="preserve">приемы нахождения точных пропорций;</w:t>
            </w:r>
            <w:r/>
          </w:p>
          <w:p>
            <w:pPr>
              <w:jc w:val="both"/>
            </w:pPr>
            <w:r>
              <w:t xml:space="preserve">-</w:t>
            </w:r>
            <w:r>
              <w:rPr>
                <w:lang w:val="en-US"/>
              </w:rPr>
              <w:t xml:space="preserve"> </w:t>
            </w:r>
            <w:r>
              <w:t xml:space="preserve">способы передачи в рисунке тоновой информации, выражающей пластику формы предмета;</w:t>
            </w:r>
            <w:r/>
          </w:p>
          <w:p>
            <w:pPr>
              <w:jc w:val="both"/>
            </w:pPr>
            <w:r>
              <w:t xml:space="preserve">-</w:t>
            </w:r>
            <w:r>
              <w:rPr>
                <w:lang w:val="en-US"/>
              </w:rPr>
              <w:t xml:space="preserve"> </w:t>
            </w:r>
            <w:r>
              <w:t xml:space="preserve">основы композиционных закономерностей, стилевых особенностей и конструктивной логики архитектурного сооружения.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</w:r>
            <w:r/>
          </w:p>
        </w:tc>
      </w:tr>
    </w:tbl>
    <w:p>
      <w:pPr>
        <w:ind w:right="-1"/>
        <w:jc w:val="both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Verdana" w:hAnsi="Verdana"/>
          <w:i/>
          <w:sz w:val="18"/>
          <w:szCs w:val="18"/>
        </w:rPr>
      </w:pPr>
      <w:r>
        <w:rPr>
          <w:sz w:val="28"/>
          <w:szCs w:val="28"/>
        </w:rPr>
        <w:br w:type="page" w:clear="all"/>
      </w:r>
      <w:r/>
    </w:p>
    <w:p>
      <w:pPr>
        <w:ind w:right="-1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</w:t>
      </w:r>
      <w:r>
        <w:rPr>
          <w:b/>
          <w:sz w:val="28"/>
          <w:szCs w:val="28"/>
        </w:rPr>
        <w:t xml:space="preserve"> СОДЕРЖАНИЕ УЧЕБНОЙ ДИСЦИПЛИНЫ</w:t>
      </w:r>
      <w:r/>
    </w:p>
    <w:p>
      <w:pPr>
        <w:ind w:right="-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Объем учебной дисциплины и виды учебной работ</w:t>
      </w:r>
      <w:r/>
    </w:p>
    <w:p>
      <w:pPr>
        <w:ind w:right="-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99"/>
        <w:gridCol w:w="2133"/>
      </w:tblGrid>
      <w:tr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textDirection w:val="lrTb"/>
            <w:noWrap w:val="false"/>
          </w:tcPr>
          <w:p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 учебной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часов</w:t>
            </w:r>
            <w:r/>
          </w:p>
        </w:tc>
      </w:tr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учебной дисциплины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ind w:right="-1"/>
              <w:jc w:val="center"/>
              <w:spacing w:line="360" w:lineRule="auto"/>
              <w:rPr>
                <w:b/>
              </w:rPr>
            </w:pPr>
            <w:r>
              <w:rPr>
                <w:b/>
              </w:rPr>
              <w:t xml:space="preserve">200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 т.ч. в форме практической подготовки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ind w:right="-1"/>
              <w:jc w:val="center"/>
              <w:spacing w:line="360" w:lineRule="auto"/>
            </w:pPr>
            <w:r>
              <w:t xml:space="preserve">135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2" w:type="dxa"/>
            <w:textDirection w:val="lrTb"/>
            <w:noWrap w:val="false"/>
          </w:tcPr>
          <w:p>
            <w:pPr>
              <w:ind w:right="-1"/>
              <w:spacing w:line="360" w:lineRule="auto"/>
            </w:pPr>
            <w:r>
              <w:t xml:space="preserve">в том числе: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vAlign w:val="center"/>
            <w:textDirection w:val="lrTb"/>
            <w:noWrap w:val="false"/>
          </w:tcPr>
          <w:p>
            <w:pPr>
              <w:spacing w:line="360" w:lineRule="auto"/>
            </w:pPr>
            <w:r>
              <w:t xml:space="preserve">теоретическое обучение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ind w:right="-1"/>
              <w:jc w:val="center"/>
              <w:spacing w:line="360" w:lineRule="auto"/>
            </w:pPr>
            <w:r>
              <w:t xml:space="preserve">11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vAlign w:val="center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практические занятия</w:t>
            </w:r>
            <w:r>
              <w:rPr>
                <w:i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iCs/>
              </w:rPr>
            </w:pPr>
            <w:r>
              <w:rPr>
                <w:iCs/>
              </w:rPr>
              <w:t xml:space="preserve">187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textDirection w:val="lrTb"/>
            <w:noWrap w:val="false"/>
          </w:tcPr>
          <w:p>
            <w:pPr>
              <w:ind w:right="-1"/>
              <w:jc w:val="both"/>
              <w:spacing w:line="360" w:lineRule="auto"/>
            </w:pPr>
            <w:r>
              <w:t xml:space="preserve">Самостоятельная работа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ind w:right="-1"/>
              <w:jc w:val="center"/>
              <w:spacing w:line="360" w:lineRule="auto"/>
              <w:rPr>
                <w:b/>
              </w:rPr>
            </w:pPr>
            <w:r>
              <w:rPr>
                <w:b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499" w:type="dxa"/>
            <w:textDirection w:val="lrTb"/>
            <w:noWrap w:val="false"/>
          </w:tcPr>
          <w:p>
            <w:pPr>
              <w:ind w:right="-1"/>
              <w:jc w:val="both"/>
              <w:spacing w:line="360" w:lineRule="auto"/>
            </w:pPr>
            <w:r>
              <w:rPr>
                <w:b/>
                <w:iCs/>
              </w:rPr>
              <w:t xml:space="preserve">Промежуточная аттестация -</w:t>
            </w:r>
            <w:r>
              <w:t xml:space="preserve"> дифференцированный зачет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ind w:right="-1"/>
              <w:jc w:val="center"/>
              <w:spacing w:line="360" w:lineRule="auto"/>
            </w:pPr>
            <w:r>
              <w:t xml:space="preserve">2</w:t>
            </w:r>
            <w:r/>
          </w:p>
        </w:tc>
      </w:tr>
    </w:tbl>
    <w:p>
      <w:pPr>
        <w:ind w:right="-1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ind w:right="-1"/>
      </w:pPr>
      <w:r/>
      <w:r/>
    </w:p>
    <w:p>
      <w:pPr>
        <w:ind w:right="-1"/>
        <w:rPr>
          <w:rFonts w:ascii="Verdana" w:hAnsi="Verdana"/>
          <w:b/>
          <w:caps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Verdana" w:hAnsi="Verdana"/>
          <w:b/>
          <w:caps/>
          <w:sz w:val="28"/>
          <w:szCs w:val="28"/>
        </w:rPr>
      </w:r>
      <w:r/>
    </w:p>
    <w:p>
      <w:pPr>
        <w:rPr>
          <w:b/>
          <w:bCs/>
        </w:rPr>
      </w:pPr>
      <w:r>
        <w:rPr>
          <w:b/>
        </w:rPr>
        <w:t xml:space="preserve">2.2. Тематический план и содержание учебной дисциплины 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00"/>
        <w:gridCol w:w="7777"/>
        <w:gridCol w:w="1168"/>
        <w:gridCol w:w="1739"/>
        <w:gridCol w:w="1901"/>
      </w:tblGrid>
      <w:tr>
        <w:trPr>
          <w:trHeight w:val="1913"/>
        </w:trPr>
        <w:tc>
          <w:tcPr>
            <w:tcW w:w="744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и формы организации деятельности обучающихся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часах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том числе практическая подготовка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компетенций и личностных результатов, формированию которых способствует элемент программы</w:t>
            </w:r>
            <w:r/>
          </w:p>
        </w:tc>
      </w:tr>
      <w:tr>
        <w:trPr>
          <w:trHeight w:val="331"/>
        </w:trPr>
        <w:tc>
          <w:tcPr>
            <w:tcW w:w="744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</w:tr>
      <w:tr>
        <w:trPr>
          <w:trHeight w:val="331"/>
        </w:trPr>
        <w:tc>
          <w:tcPr>
            <w:gridSpan w:val="2"/>
            <w:tcW w:w="3374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Геометрические структуры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22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trHeight w:val="279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Изучение основ наблюдательной перспективы 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12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Основы линейной перспективы. Закономерности перспективных сокращений плоскостей при различных точках зрения </w:t>
            </w:r>
            <w:r>
              <w:t xml:space="preserve">и различной удалённости от глаза наблюдателя. Главный луч зрения. Точки схода параллельных прямых. Перспективы центральная и угловая. Принципы структурно-конструктивного рисунка. Геометрический принцип образования структуры образа Формообразующие элементы.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265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2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t xml:space="preserve">Натюрморт, составленный из геометрических тел.</w:t>
            </w:r>
            <w:r>
              <w:rPr>
                <w:bCs/>
              </w:rPr>
              <w:t xml:space="preserve"> 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5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Выполнение </w:t>
            </w:r>
            <w:r>
              <w:t xml:space="preserve">натюрморта гипсового орнамента геометрических форм и плоских геометрических фигур на плоском фоне спокойных тонов. 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22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Изображение сложных форм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12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276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Развитие объемно-пространственного мышления на основе изображения отдельных предметов сложной формы и групп из них.</w:t>
            </w:r>
            <w:r/>
          </w:p>
          <w:p>
            <w:pPr>
              <w:jc w:val="both"/>
            </w:pPr>
            <w:r>
              <w:t xml:space="preserve">Задачи, композиционного размещения рисунка в заданной плоскости листа. Анализ пластических основ конструкции сложной форм предмета как сочетание, простейших геометрических форм.</w:t>
            </w:r>
            <w:r/>
          </w:p>
          <w:p>
            <w:pPr>
              <w:jc w:val="both"/>
            </w:pPr>
            <w:r>
              <w:t xml:space="preserve">Способы передачи в рисунке тоновой информации, выражающей пластическое решение формы предмета. Физические факторы </w:t>
            </w:r>
            <w:r>
              <w:t xml:space="preserve">образования визуальной характеристики тона. Фазы светотени. Характер освещённости предметов. Законы распределения света в пространстве. Понятия: контраст, силуэт, нюанс.</w:t>
            </w:r>
            <w:r/>
          </w:p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t xml:space="preserve">Влияние цвета и фактуры предмета на светотеневые отношения. Простейшее тоновое деление пространства. Взаимовлияние предметов и фона.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276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17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3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t xml:space="preserve">Рисунок сложных форм.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5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4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t xml:space="preserve">Выполнение натюрморта, составленного из предметов домашнего обихода труда с драпировкой.  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09"/>
        </w:trPr>
        <w:tc>
          <w:tcPr>
            <w:gridSpan w:val="2"/>
            <w:tcW w:w="3374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i/>
                <w:iCs/>
              </w:rPr>
            </w:pPr>
            <w:r>
              <w:rPr>
                <w:b/>
              </w:rPr>
              <w:t xml:space="preserve">Раздел 2. Основы колористики и цветовой композиции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44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41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31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 xml:space="preserve">Тема 2.1.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</w:rPr>
              <w:t xml:space="preserve">Знакомство с техникой живописного письма акварельными красками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Выработка практических навыков работы акварельными красками. Возможности живописной палитры. Структура красочного слоя: Техника живописного письма «лессировками» и «по сырому». Локальный и обусловленный цвет. </w:t>
            </w:r>
            <w:r/>
          </w:p>
          <w:p>
            <w:pPr>
              <w:jc w:val="both"/>
            </w:pPr>
            <w:r>
              <w:t xml:space="preserve">Различия цвета по цветовому оттенку, насыщенности и светлоте. </w:t>
            </w:r>
            <w:r>
              <w:tab/>
            </w:r>
            <w:r/>
          </w:p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t xml:space="preserve">Методика работы над живописной композицией на примере натюрморта. Поиск ст</w:t>
            </w:r>
            <w:r>
              <w:t xml:space="preserve">руктурно-пластического решения натюрморта. Определение главного и второстепенного в натюрморте. Передача движения и ритмов основных масс при построении живописной композиции натюрморта. Изменение цветовых отношений под влиянием фактурных качеств предметов.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269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5</w:t>
            </w:r>
            <w:r>
              <w:rPr>
                <w:i/>
                <w:iCs/>
              </w:rPr>
              <w:t xml:space="preserve">:</w:t>
            </w:r>
            <w:r>
              <w:t xml:space="preserve"> Живопись натюрморта.</w:t>
            </w:r>
            <w:r/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живописи натюрморта, составленного из 2-х, 3-х предметов с драпировкой. 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5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5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445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Развитие колористического мышления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16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Цветовой спектр. Живописность отношений ведущих цветов натуры на основе холодной и теплой гаммы. Поиск дополнительных цветов.</w:t>
            </w:r>
            <w:r/>
          </w:p>
          <w:p>
            <w:pPr>
              <w:jc w:val="both"/>
            </w:pPr>
            <w:r>
              <w:t xml:space="preserve">Закономерности изменений состояния, освещённости локального и обусловленного цвета. Взаимное влияние цветов. Световоздушная среда.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Нюансные и контрастные цветовые отношения. Гармоничные сочетания цветов. Согласованность цветовых оттенков Аккорд — как основной тип гармонизации цветовых отношений.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41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61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6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t xml:space="preserve">Живописный натюрморт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3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3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7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t xml:space="preserve">Выполнение живописи натюрморта, составленного из 2-х, 3-х предметов с драпировкой в холодном колорите. 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 № 8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t xml:space="preserve">Выполнение живописи натюрморта, составленного из 2-х, 3-х предметов с драпировкой в теплом колорите.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13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2.3. 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Изучение традиций композиционной работы с цветом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22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21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Особенности работы с гуашью и темперой. Оптические системы тональности (светлотная и световая).</w:t>
            </w:r>
            <w:r/>
          </w:p>
          <w:p>
            <w:pPr>
              <w:jc w:val="both"/>
            </w:pPr>
            <w:r>
              <w:t xml:space="preserve">Типы колористических композиций. Основные прие</w:t>
            </w:r>
            <w:r>
              <w:t xml:space="preserve">мы и средства для их исполнения. Подчинение изобразительных средств выражения образных задач. Понятия о некоторых  приемах, ведущих к обобщению зрительного образа, его монументализации. Методы материализации образной цветовой идеи в живописи и архитектуре.</w:t>
            </w:r>
            <w:r/>
          </w:p>
          <w:p>
            <w:pPr>
              <w:jc w:val="both"/>
              <w:keepNext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  <w:outlineLvl w:val="2"/>
            </w:pPr>
            <w:r>
              <w:t xml:space="preserve">Традиции композиционной работы с цветом через анализ классики и опыта своей практической работы.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45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9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t xml:space="preserve"> Натюрморт.</w:t>
            </w:r>
            <w:r>
              <w:t xml:space="preserve"> П</w:t>
            </w:r>
            <w:r>
              <w:t xml:space="preserve">лоское решение композиции, выполняется гуашью.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3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3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10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t xml:space="preserve">Выполнение живописи натюрморта из предметов с контрастной цветовой окраской.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11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t xml:space="preserve">И</w:t>
            </w:r>
            <w:r>
              <w:t xml:space="preserve">ллюзорное решение нат</w:t>
            </w:r>
            <w:r>
              <w:t xml:space="preserve">юрморта и выполняется акварелью.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0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ind w:right="-1"/>
            </w:pPr>
            <w:r>
              <w:rPr>
                <w:b/>
                <w:i/>
                <w:iCs/>
              </w:rPr>
              <w:t xml:space="preserve">Практическая работа № 12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Натюрморт</w:t>
            </w:r>
            <w:r>
              <w:t xml:space="preserve"> по представлению</w:t>
            </w:r>
            <w:r>
              <w:rPr>
                <w:bCs/>
              </w:rPr>
              <w:t xml:space="preserve">.</w:t>
            </w:r>
            <w:r>
              <w:rPr>
                <w:i/>
                <w:color w:val="ff0000"/>
              </w:rPr>
              <w:t xml:space="preserve"> </w:t>
            </w:r>
            <w:r>
              <w:t xml:space="preserve">Композиция с разными пространственными акцентами,</w:t>
            </w:r>
            <w:r>
              <w:t xml:space="preserve"> выполняется гуашью.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29"/>
        </w:trPr>
        <w:tc>
          <w:tcPr>
            <w:gridSpan w:val="2"/>
            <w:tcW w:w="3374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>
              <w:rPr>
                <w:b/>
              </w:rPr>
              <w:t xml:space="preserve">Архитектурные детали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30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28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21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композиционных закономерностей, стилевых особенностей конструктивной логики архитектурного сооружения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8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</w:t>
            </w:r>
            <w:r>
              <w:rPr>
                <w:b/>
                <w:bCs/>
                <w:i/>
              </w:rPr>
              <w:t xml:space="preserve">ПК 1.1</w:t>
            </w:r>
            <w:r/>
          </w:p>
        </w:tc>
      </w:tr>
      <w:tr>
        <w:trPr>
          <w:trHeight w:val="613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Архитектурные обломы. 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Анализ формы сложных предметов через характерные сечения.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56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56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13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вазы. </w:t>
            </w:r>
            <w:r>
              <w:t xml:space="preserve">Выполнение рисунка гипсовой вазы</w:t>
            </w:r>
            <w:r>
              <w:t xml:space="preserve">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3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3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613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14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</w:t>
            </w:r>
            <w:r>
              <w:t xml:space="preserve">амфоры. Выполнение рисунка  амфоры.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4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4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276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</w:t>
            </w:r>
            <w:r/>
          </w:p>
          <w:p>
            <w:pPr>
              <w:rPr>
                <w:b/>
              </w:rPr>
            </w:pPr>
            <w:r>
              <w:rPr>
                <w:b/>
                <w:bCs/>
              </w:rPr>
              <w:t xml:space="preserve">Рельефная архитектурная орнаментика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22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21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56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t xml:space="preserve">Логичность, появления архитектурной детали, её целесообразность в конструкции и художественно-пластическое выражение. 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t xml:space="preserve">Ритмы архитектурной орнаментики и их пропорций.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3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3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15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орнамента.</w:t>
            </w:r>
            <w:r/>
          </w:p>
          <w:p>
            <w:pPr>
              <w:jc w:val="both"/>
            </w:pPr>
            <w:r>
              <w:t xml:space="preserve">Выполнение рисунка гипсового орнамента сложной формы.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t xml:space="preserve">Для выполнения работы провести анализ видимой формы орнамента. Пропорции большой формы и её деталей. Линейно-конструктивный рисунок с последующим введением тона.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5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5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3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16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капителей античных ордеров</w:t>
            </w:r>
            <w:r>
              <w:t xml:space="preserve">. Дорический ордер.</w:t>
            </w:r>
            <w:r>
              <w:t xml:space="preserve"> 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t xml:space="preserve">Выполнение рисунка капители одного или нескольких из античных ордеров (линейно-конструктивный рисунок с последующим введением тона).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4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4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3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17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капителей античных ордеров</w:t>
            </w:r>
            <w:r>
              <w:t xml:space="preserve">.</w:t>
            </w:r>
            <w:r>
              <w:t xml:space="preserve"> </w:t>
            </w:r>
            <w:r>
              <w:t xml:space="preserve">Ионический ордер. 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t xml:space="preserve">Выполнение рисунка капители одного или нескольких из античных ордеров. (линейно-конструктивный рисунок с последующим введением тона).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56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i/>
                <w:iCs/>
              </w:rPr>
              <w:t xml:space="preserve">Практическая работа № 18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капителей античных ордеров</w:t>
            </w:r>
            <w:r>
              <w:t xml:space="preserve">.</w:t>
            </w:r>
            <w:r>
              <w:t xml:space="preserve"> </w:t>
            </w:r>
            <w:r>
              <w:t xml:space="preserve">Коринфский ордер.</w:t>
            </w:r>
            <w:r>
              <w:t xml:space="preserve"> </w:t>
            </w:r>
            <w:r/>
          </w:p>
          <w:p>
            <w:pPr>
              <w:jc w:val="both"/>
              <w:rPr>
                <w:b/>
                <w:i/>
                <w:iCs/>
              </w:rPr>
            </w:pPr>
            <w:r>
              <w:t xml:space="preserve">Выполнение рисунка капители одного или нескольких из античных ордеров (линейно-конструктивный рисунок с последующим введением </w:t>
            </w:r>
            <w:r>
              <w:t xml:space="preserve">тона).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55"/>
        </w:trPr>
        <w:tc>
          <w:tcPr>
            <w:gridSpan w:val="2"/>
            <w:tcW w:w="3374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Рисунок интерьера</w:t>
            </w:r>
            <w:r/>
          </w:p>
        </w:tc>
        <w:tc>
          <w:tcPr>
            <w:tcW w:w="39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22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20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55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4.1.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интерьера с натуры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14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Особенности построения перспективы интерьера (фронтальной и угловой) с натуры.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Распределение светотени при естественном и искусственном освещении с натуры.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/>
                <w:i/>
              </w:rPr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239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19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</w:rPr>
              <w:t xml:space="preserve">Рисунок интерьера учебной аудитории с натуры. Выполнение рисунка интерьера учебной аудитории.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1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517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20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</w:rPr>
              <w:t xml:space="preserve">Рисунок интерьера учебной аудитории с натуры.   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i/>
              </w:rPr>
            </w:pPr>
            <w:r>
              <w:rPr>
                <w:bCs/>
              </w:rPr>
              <w:t xml:space="preserve">Выбор точки зрения, угловая или фронтальная перспектива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572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21</w:t>
            </w:r>
            <w:r>
              <w:rPr>
                <w:b/>
                <w:i/>
              </w:rPr>
              <w:t xml:space="preserve">: </w:t>
            </w:r>
            <w:r>
              <w:rPr>
                <w:bCs/>
              </w:rPr>
              <w:t xml:space="preserve">Рисунок интерьера учебной аудитории с натуры.   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i/>
              </w:rPr>
            </w:pPr>
            <w:r>
              <w:rPr>
                <w:bCs/>
              </w:rPr>
              <w:t xml:space="preserve">С</w:t>
            </w:r>
            <w:r>
              <w:rPr>
                <w:bCs/>
              </w:rPr>
              <w:t xml:space="preserve">оздание пространства и объема с помощью светотени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  <w:t xml:space="preserve">6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</w:r>
            <w:r/>
          </w:p>
        </w:tc>
      </w:tr>
      <w:tr>
        <w:trPr>
          <w:trHeight w:val="337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4.2.</w:t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Рисунок интерьера по представлению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Особенности построения перспективы интерьера (фронтальной и угловой) по представлению.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Распределение светотени при естественном и искусственном освещении по представлению.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22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</w:rPr>
              <w:t xml:space="preserve">Рисунок интерьера по представлению. 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Выполняется рисунок интерьера по представлению с имеющихся планов и разверток стен.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23</w:t>
            </w:r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</w:rPr>
              <w:t xml:space="preserve">Рисунок интерьера по представлению. 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Выбор точки зрения, угловая или фронтальная перспектива, создание пространства и объема с помощью светотени.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3374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5. Изображение человека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78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24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5.1. 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  <w:t xml:space="preserve">Голова человека</w:t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48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</w:t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Анализ пропорций головы человека и ее анатомических основ. Структурный стержень строения объемной головы. Связь внутренней </w:t>
            </w:r>
            <w:r>
              <w:rPr>
                <w:bCs/>
              </w:rPr>
              <w:t xml:space="preserve">костной конструкции и внешней мышечной системы в пластике головы человека. Работа мимических мышц.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Построение рисунка головы по опорным пунктам и характерным направляющим линиям. Использование в построении сечений по основным плоскостям.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24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Cs/>
              </w:rPr>
              <w:t xml:space="preserve"> Рисунок черепа человека.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Наброски черепа с</w:t>
            </w:r>
            <w:r>
              <w:rPr>
                <w:bCs/>
              </w:rPr>
              <w:t xml:space="preserve"> натуры с</w:t>
            </w:r>
            <w:r>
              <w:rPr>
                <w:bCs/>
              </w:rPr>
              <w:t xml:space="preserve"> различных точек зрения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25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Cs/>
              </w:rPr>
              <w:t xml:space="preserve"> Рисунок черепа человека.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Выполнение рисунков черепа человека в основных положениях – фас, профиль, трехчетвертной поворот (на одном листе).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26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Cs/>
              </w:rPr>
              <w:t xml:space="preserve"> Рисунок гипсовых слепков деталей головы.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Выполнение рисунков носа, глаза, губ (на одном листе). 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27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Эскиз головы человека. Пропорции.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bCs/>
                <w:i/>
                <w:iCs/>
              </w:rPr>
              <w:t xml:space="preserve"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гипсовой анатомической головы человека.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Выполнение рисунка головы (учитывая связь внутренней костной конструкции и внешней мышечной системы в пластике головы человека).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28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гипсового слепка античной головы 1категории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сложности. 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Выполнение рисунка головы Дорифора (Диадумена).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29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гипсового слепка 2 категории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сложности. Выполнение рисунка головы Апоксиомена (Антиноя).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Borders>
              <w:bottom w:val="none" w:color="000000" w:sz="4" w:space="0"/>
            </w:tcBorders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b/>
                <w:i/>
                <w:iCs/>
              </w:rPr>
              <w:t xml:space="preserve">Практическая работа № 30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t xml:space="preserve">Рисунок гипсового слепка античной головы 3 категории</w:t>
            </w:r>
            <w:r>
              <w:rPr>
                <w:color w:val="ff0000"/>
              </w:rPr>
              <w:t xml:space="preserve"> </w:t>
            </w:r>
            <w:r>
              <w:t xml:space="preserve">сложности).  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Выполнение рисунка гипсового слепка античной головы Сократа (Цезаря).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</w:tcBorders>
            <w:tcW w:w="744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31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головы человека с натуры.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/>
          </w:p>
        </w:tc>
        <w:tc>
          <w:tcPr>
            <w:tcW w:w="58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643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5.2. 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 xml:space="preserve">Фигура человека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ОК 01, ОК 04,  ПК 1.1</w:t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Пропорциональный строй фигуры  человека и ее анатомические основы. Общий обзор скелета. Основные комбинации мышечных групп, суставов, сухожилий. Статика и динамика фигуры человека.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Постановка фигуры в рисунке. Центр тяжести всего тела человека и его </w:t>
            </w:r>
            <w:r>
              <w:rPr>
                <w:bCs/>
              </w:rPr>
              <w:t xml:space="preserve">отдельных частей. Ось равновесия фигуры. Зависимость изменения пластической формы от характера производимого движения.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Определение положения фигуры человека в пространстве с учетом перспективных сокращений.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Cs/>
              </w:rPr>
              <w:t xml:space="preserve">Пластико-структурно-функциональные связи в конструкции человеческой фигуры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В том числе практических работ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32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скелета человека.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скелета верхних конечностей.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bCs/>
              </w:rPr>
              <w:t xml:space="preserve">Выполнение рисунка скелета человека (учитывая анатомическое строение и пропорции, закономерности построения основных частей  </w:t>
            </w:r>
            <w:r>
              <w:t xml:space="preserve">скелета, костей верхних и нижних конечностей).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rPr>
                <w:b/>
                <w:i/>
                <w:iCs/>
              </w:rPr>
              <w:t xml:space="preserve">Практическая работа № 33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скелета человека.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Рисунок скелета нижних конечностей</w:t>
            </w:r>
            <w:r>
              <w:rPr>
                <w:bCs/>
              </w:rPr>
              <w:t xml:space="preserve">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i/>
                <w:iCs/>
              </w:rPr>
            </w:pPr>
            <w:r>
              <w:rPr>
                <w:bCs/>
              </w:rPr>
              <w:t xml:space="preserve">Выполнение рисунка скелета человека (учитывая анатомическое строение и пропорции, закономерности построения основных частей  </w:t>
            </w:r>
            <w:r>
              <w:t xml:space="preserve">скелета, костей верхних и нижних конечностей).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b/>
                <w:i/>
                <w:iCs/>
              </w:rPr>
              <w:t xml:space="preserve">Практическая работа № 34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t xml:space="preserve">Рисунок гипсовой анатомической фигуры человека. Выполнение рисунка Экорше. 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rPr>
                <w:b/>
                <w:i/>
                <w:iCs/>
              </w:rPr>
              <w:t xml:space="preserve">Практическая работа № 35</w:t>
            </w:r>
            <w:r>
              <w:rPr>
                <w:b/>
                <w:i/>
                <w:iCs/>
              </w:rPr>
              <w:t xml:space="preserve">:</w:t>
            </w:r>
            <w:r>
              <w:t xml:space="preserve"> Рисунок гипсовой фигуры человека.</w:t>
            </w:r>
            <w:r/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Выполнение рисунка фигуры человека (Дорифор, Геракл, Венера и т.д.).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20"/>
        </w:trPr>
        <w:tc>
          <w:tcPr>
            <w:tcW w:w="744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2630" w:type="pc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Практическая работа № 36</w:t>
            </w:r>
            <w:r>
              <w:rPr>
                <w:b/>
                <w:i/>
                <w:iCs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t xml:space="preserve">Рисунок фигуры человека с натуры.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643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/>
        <w:tc>
          <w:tcPr>
            <w:gridSpan w:val="2"/>
            <w:tcW w:w="3374" w:type="pc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Промежуточная аттестация</w:t>
            </w:r>
            <w:r>
              <w:rPr>
                <w:b/>
              </w:rPr>
              <w:t xml:space="preserve">- дифференцированный зачет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2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3374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Всего:</w:t>
            </w:r>
            <w:r/>
          </w:p>
        </w:tc>
        <w:tc>
          <w:tcPr>
            <w:tcW w:w="39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200</w:t>
            </w:r>
            <w:r/>
          </w:p>
        </w:tc>
        <w:tc>
          <w:tcPr>
            <w:tcW w:w="588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green"/>
              </w:rPr>
              <w:t xml:space="preserve">135</w:t>
            </w:r>
            <w:r/>
          </w:p>
        </w:tc>
        <w:tc>
          <w:tcPr>
            <w:tcW w:w="643" w:type="pct"/>
            <w:textDirection w:val="lrTb"/>
            <w:noWrap w:val="false"/>
          </w:tcPr>
          <w:p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</w:tbl>
    <w:p>
      <w:pPr>
        <w:ind w:firstLine="567"/>
        <w:jc w:val="both"/>
        <w:rPr>
          <w:b/>
          <w:caps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b/>
          <w:caps/>
          <w:sz w:val="28"/>
          <w:szCs w:val="28"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3. УСЛОВИЯ РЕАЛИЗАЦИИ УЧЕБНОЙ ДИСЦИПЛИНЫ</w:t>
      </w:r>
      <w:r/>
    </w:p>
    <w:p>
      <w:pPr>
        <w:ind w:firstLine="709"/>
        <w:jc w:val="both"/>
        <w:rPr>
          <w:b/>
        </w:rPr>
      </w:pPr>
      <w:r>
        <w:rPr>
          <w:b/>
        </w:rPr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3.1. Для реализации программы учебной дисциплины должны быть предусмотрены следующие специальные помещения: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lang w:eastAsia="en-US"/>
        </w:rPr>
      </w:pPr>
      <w:r>
        <w:rPr>
          <w:bCs/>
        </w:rPr>
        <w:t xml:space="preserve">Кабинет рисунка и живописи</w:t>
      </w:r>
      <w:r>
        <w:rPr>
          <w:lang w:eastAsia="en-US"/>
        </w:rPr>
        <w:t xml:space="preserve">, оснащенный о</w:t>
      </w:r>
      <w:r>
        <w:rPr>
          <w:bCs/>
          <w:lang w:eastAsia="en-US"/>
        </w:rPr>
        <w:t xml:space="preserve">борудованием: 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посадочные места по количеству</w:t>
      </w:r>
      <w:r>
        <w:t xml:space="preserve"> обучающихся</w:t>
      </w:r>
      <w:r>
        <w:t xml:space="preserve">;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мольберты;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рабочее место преподавателя;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комплект гипсовых многогранников, гипсовых тел вращения</w:t>
      </w:r>
      <w:r/>
    </w:p>
    <w:p>
      <w:pPr>
        <w:ind w:left="851" w:hanging="142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ваза (гипс), орнамент (гипс), акантовый лист (гипс), розетки простые (гипс), розетки сложные (гипс), ионики (гипс);</w:t>
      </w:r>
      <w:r/>
    </w:p>
    <w:p>
      <w:pPr>
        <w:ind w:left="851" w:hanging="142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предметы быта, инструменты;</w:t>
      </w:r>
      <w:r/>
    </w:p>
    <w:p>
      <w:pPr>
        <w:ind w:left="851" w:hanging="142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комплект муляжей овощей и фруктов;</w:t>
      </w:r>
      <w:r/>
    </w:p>
    <w:p>
      <w:pPr>
        <w:ind w:left="851" w:hanging="142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драпировки холодного и теплого колоритов;</w:t>
      </w:r>
      <w:r/>
    </w:p>
    <w:p>
      <w:pPr>
        <w:ind w:left="851" w:hanging="142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муляжи предметов холодного и теплого колоритов;</w:t>
      </w:r>
      <w:r/>
    </w:p>
    <w:p>
      <w:pPr>
        <w:ind w:left="851" w:hanging="142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 капители: тосканская, дорическая, ионическая, коринфская (гипс);</w:t>
      </w:r>
      <w:r/>
    </w:p>
    <w:p>
      <w:pPr>
        <w:ind w:left="851" w:hanging="142"/>
      </w:pPr>
      <w:r>
        <w:t xml:space="preserve">- нос (гипс), глаз (гипс), губы (гипс), ухо (гипс);</w:t>
      </w:r>
      <w:r/>
    </w:p>
    <w:p>
      <w:pPr>
        <w:ind w:left="851" w:hanging="142"/>
      </w:pPr>
      <w:r>
        <w:t xml:space="preserve">- голова Апоксиомена (гипс), голова Диадумена (гипс), голова Сократа (гипс), голова Софокла (гипс), голова Афродиты Книдской (гипс), голова Дорифора (гипс), голова Антиноя (гипс), голова Апполона (гипс);</w:t>
      </w:r>
      <w:r/>
    </w:p>
    <w:p>
      <w:pPr>
        <w:ind w:left="851" w:hanging="142"/>
      </w:pPr>
      <w:r>
        <w:t xml:space="preserve">- скелет человека, слепки верхних конечностей (руки), слепки нижних конечностей (стопа);</w:t>
      </w:r>
      <w:r/>
    </w:p>
    <w:p>
      <w:pPr>
        <w:ind w:left="709"/>
      </w:pPr>
      <w:r>
        <w:t xml:space="preserve">- анатомический торс человека (гипс);</w:t>
      </w:r>
      <w:r/>
    </w:p>
    <w:p>
      <w:pPr>
        <w:ind w:left="709"/>
      </w:pPr>
      <w:r>
        <w:t xml:space="preserve">- комплект учебно-методических материалов;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lang w:eastAsia="en-US"/>
        </w:rPr>
      </w:pPr>
      <w:r>
        <w:rPr>
          <w:lang w:eastAsia="en-US"/>
        </w:rPr>
        <w:t xml:space="preserve">т</w:t>
      </w:r>
      <w:r>
        <w:rPr>
          <w:bCs/>
          <w:lang w:eastAsia="en-US"/>
        </w:rPr>
        <w:t xml:space="preserve">ехническими средствами обучения: </w:t>
      </w:r>
      <w:r/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- компьютер с программным обеспечением;</w:t>
      </w:r>
      <w:r/>
    </w:p>
    <w:p>
      <w:pPr>
        <w:ind w:firstLine="709"/>
        <w:jc w:val="both"/>
      </w:pPr>
      <w:r>
        <w:t xml:space="preserve">- экран (доска);</w:t>
      </w:r>
      <w:r/>
    </w:p>
    <w:p>
      <w:pPr>
        <w:ind w:firstLine="709"/>
        <w:jc w:val="both"/>
      </w:pPr>
      <w:r>
        <w:t xml:space="preserve">- мультимедиапроектор.</w:t>
      </w:r>
      <w:r/>
    </w:p>
    <w:p>
      <w:pPr>
        <w:ind w:firstLine="709"/>
        <w:jc w:val="both"/>
      </w:pPr>
      <w:r/>
      <w:r/>
    </w:p>
    <w:p>
      <w:pPr>
        <w:rPr>
          <w:b/>
          <w:bCs/>
        </w:rPr>
      </w:pPr>
      <w:r>
        <w:rPr>
          <w:b/>
          <w:bCs/>
        </w:rPr>
        <w:t xml:space="preserve">3.2. Информационное обеспечение реализации программы</w:t>
      </w:r>
      <w:r/>
    </w:p>
    <w:p>
      <w:pPr>
        <w:ind w:firstLine="709"/>
        <w:jc w:val="both"/>
      </w:pPr>
      <w:r>
        <w:rPr>
          <w:bCs/>
        </w:rPr>
        <w:t xml:space="preserve"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>
        <w:rPr>
          <w:bCs/>
        </w:rPr>
        <w:t xml:space="preserve"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</w:t>
      </w:r>
      <w:r>
        <w:rPr>
          <w:bCs/>
        </w:rPr>
        <w:t xml:space="preserve">при этом список может быть </w:t>
      </w:r>
      <w:r>
        <w:rPr>
          <w:bCs/>
        </w:rPr>
        <w:t xml:space="preserve">дополнен новыми изданиями.</w:t>
      </w:r>
      <w:r/>
    </w:p>
    <w:p>
      <w:pPr>
        <w:ind w:firstLine="709"/>
        <w:jc w:val="both"/>
        <w:rPr>
          <w:b/>
        </w:rPr>
      </w:pPr>
      <w:r>
        <w:rPr>
          <w:b/>
        </w:rPr>
      </w:r>
      <w:r/>
    </w:p>
    <w:p>
      <w:pPr>
        <w:numPr>
          <w:ilvl w:val="2"/>
          <w:numId w:val="25"/>
        </w:numPr>
        <w:ind w:hanging="371"/>
        <w:jc w:val="both"/>
        <w:rPr>
          <w:b/>
          <w:color w:val="000000"/>
        </w:rPr>
      </w:pPr>
      <w:r>
        <w:rPr>
          <w:b/>
          <w:color w:val="000000"/>
        </w:rPr>
        <w:t xml:space="preserve">Основные печатные издания</w:t>
      </w:r>
      <w:r/>
    </w:p>
    <w:p>
      <w:pPr>
        <w:numPr>
          <w:ilvl w:val="0"/>
          <w:numId w:val="26"/>
        </w:numPr>
        <w:ind w:left="0" w:firstLine="36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Паранюшкин Р. В. Техника рисунка : учебное пособие / Р. В. Паранюшкин, Г. А. Насуленко. — 6-е, стер. — Санкт-Петербург : Планета музыки, 2021. — 252 с. — ISBN 978-5-8114-7297-0.</w:t>
      </w:r>
      <w:r/>
    </w:p>
    <w:p>
      <w:pPr>
        <w:numPr>
          <w:ilvl w:val="0"/>
          <w:numId w:val="26"/>
        </w:numPr>
        <w:ind w:left="0" w:firstLine="36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Киплик Д. И. Техника живописи : учебное пособие / Д. И. Киплик. — 7-е стер. — Санкт-Петербург : Планета музыки, 2021. — 592 с. — ISBN 978-5-8114-7542-1. </w:t>
      </w:r>
      <w:r/>
    </w:p>
    <w:p>
      <w:pPr>
        <w:pStyle w:val="733"/>
        <w:numPr>
          <w:ilvl w:val="0"/>
          <w:numId w:val="26"/>
        </w:numPr>
        <w:ind w:left="0" w:firstLine="360"/>
        <w:jc w:val="both"/>
        <w:rPr>
          <w:color w:val="000000"/>
        </w:rPr>
      </w:pPr>
      <w:r>
        <w:rPr>
          <w:color w:val="000000"/>
        </w:rPr>
        <w:t xml:space="preserve">Скакова А. Г.  Рисунок и живопись : учебник для среднего профессионального образования / А. Г. Скакова. — Москва : Издательство Юрайт, 2021. — 164 с. </w:t>
      </w:r>
      <w:r/>
    </w:p>
    <w:p>
      <w:pPr>
        <w:contextualSpacing/>
        <w:ind w:firstLine="709"/>
        <w:rPr>
          <w:b/>
          <w:color w:val="000000"/>
        </w:rPr>
      </w:pPr>
      <w:r>
        <w:rPr>
          <w:b/>
          <w:color w:val="000000"/>
        </w:rPr>
        <w:t xml:space="preserve">3.2.2. </w:t>
      </w:r>
      <w:r>
        <w:rPr>
          <w:b/>
          <w:color w:val="000000"/>
        </w:rPr>
        <w:t xml:space="preserve">Основные э</w:t>
      </w:r>
      <w:r>
        <w:rPr>
          <w:b/>
          <w:color w:val="000000"/>
        </w:rPr>
        <w:t xml:space="preserve">лектронные издания </w:t>
      </w:r>
      <w:r/>
    </w:p>
    <w:p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 Зорин Л. Н. Рисунок : учебник / Л. Н. Зорин. — Санкт</w:t>
      </w:r>
      <w:r>
        <w:rPr>
          <w:rFonts w:eastAsia="Calibri"/>
          <w:color w:val="000000"/>
          <w:lang w:eastAsia="en-US"/>
        </w:rPr>
        <w:t xml:space="preserve">-Петербург: Планета музыки, 2022</w:t>
      </w:r>
      <w:r>
        <w:rPr>
          <w:rFonts w:eastAsia="Calibri"/>
          <w:color w:val="000000"/>
          <w:lang w:eastAsia="en-US"/>
        </w:rPr>
        <w:t xml:space="preserve">. — 104 с. — ISBN 978-5-8114-1477-2. — Текст : электронный // Лань : электронно-библиотечная система. — URL: </w:t>
      </w:r>
      <w:hyperlink r:id="rId11" w:tooltip="https://e.lanbook.com/book/50693" w:history="1">
        <w:r>
          <w:rPr>
            <w:rFonts w:eastAsia="Calibri"/>
            <w:color w:val="000000"/>
            <w:u w:val="single"/>
            <w:lang w:eastAsia="en-US"/>
          </w:rPr>
          <w:t xml:space="preserve">https://e.lanbook.com/book/50693</w:t>
        </w:r>
      </w:hyperlink>
      <w:r>
        <w:rPr>
          <w:rFonts w:eastAsia="Calibri"/>
          <w:color w:val="000000"/>
          <w:lang w:eastAsia="en-US"/>
        </w:rPr>
        <w:t xml:space="preserve">  (дата обращения: 09.02.2021). — Режим доступа: для авториз. пользователей.</w:t>
      </w:r>
      <w:r/>
    </w:p>
    <w:p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2. Поморов С. Б. Живопись для дизайнеров и архитекторов. Курс для бакалавров : учебное пособие / С. Б. Поморов, С. А. Прохоров, А. В. Шадурин. — Санкт-</w:t>
      </w:r>
      <w:r>
        <w:rPr>
          <w:rFonts w:eastAsia="Calibri"/>
          <w:color w:val="000000"/>
          <w:lang w:eastAsia="en-US"/>
        </w:rPr>
        <w:t xml:space="preserve">Петербург : Планета музыки, 2020</w:t>
      </w:r>
      <w:r>
        <w:rPr>
          <w:rFonts w:eastAsia="Calibri"/>
          <w:color w:val="000000"/>
          <w:lang w:eastAsia="en-US"/>
        </w:rPr>
        <w:t xml:space="preserve">. — 104 с. — ISBN 978-5-8114-1766-7. — Текст : электронный // Лань : электронно-</w:t>
      </w:r>
      <w:r>
        <w:rPr>
          <w:rFonts w:eastAsia="Calibri"/>
          <w:color w:val="000000"/>
          <w:lang w:eastAsia="en-US"/>
        </w:rPr>
        <w:t xml:space="preserve">библиотечная система. — URL: </w:t>
      </w:r>
      <w:hyperlink r:id="rId12" w:tooltip="https://e.lanbook.com/book/64348" w:history="1">
        <w:r>
          <w:rPr>
            <w:rFonts w:eastAsia="Calibri"/>
            <w:color w:val="000000"/>
            <w:u w:val="single"/>
            <w:lang w:eastAsia="en-US"/>
          </w:rPr>
          <w:t xml:space="preserve">https://e.lanbook.com/book/64348</w:t>
        </w:r>
      </w:hyperlink>
      <w:r>
        <w:rPr>
          <w:rFonts w:eastAsia="Calibri"/>
          <w:color w:val="000000"/>
          <w:lang w:eastAsia="en-US"/>
        </w:rPr>
        <w:t xml:space="preserve">  (дата обращения: 09.02.2021). — Режим доступа: для авториз. пользователей.</w:t>
      </w:r>
      <w:r/>
    </w:p>
    <w:p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 </w:t>
      </w:r>
      <w:r>
        <w:t xml:space="preserve">Киплик, Д. И.  Техника живопис</w:t>
      </w:r>
      <w:r>
        <w:t xml:space="preserve">и : учебник для среднего профессионального образования / Д. И. Киплик. — Москва : Издательство Юрайт, 2021. — 442 с. — (Профессиональное образование). — ISBN 978-5-534-09962-1. — Текст : электронный // ЭБС Юрайт [сайт]. — URL: https://urait.ru/bcode/474840</w:t>
      </w:r>
      <w:r/>
    </w:p>
    <w:p>
      <w:pPr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contextualSpacing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3.2.3. Дополнительные источники </w:t>
      </w:r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1. </w:t>
      </w:r>
      <w:hyperlink r:id="rId13" w:tooltip="http://www.stellersgallery.com/Artists/AllArtists.asp" w:history="1">
        <w:r>
          <w:rPr>
            <w:rStyle w:val="738"/>
          </w:rPr>
          <w:t xml:space="preserve">http://www.stellersgallery.com/Artists/AllArtists.asp</w:t>
        </w:r>
      </w:hyperlink>
      <w:r/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2. </w:t>
      </w:r>
      <w:hyperlink r:id="rId14" w:tooltip="http://louvre.historic.ru/virttour.shtml" w:history="1">
        <w:r>
          <w:rPr>
            <w:rStyle w:val="738"/>
          </w:rPr>
          <w:t xml:space="preserve">http://louvre.historic.ru/virttour.shtml</w:t>
        </w:r>
      </w:hyperlink>
      <w:r/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3. </w:t>
      </w:r>
      <w:hyperlink r:id="rId15" w:tooltip="http://smallbay.ru/grafica.html" w:history="1">
        <w:r>
          <w:rPr>
            <w:rStyle w:val="738"/>
          </w:rPr>
          <w:t xml:space="preserve">http://smallbay.ru/grafica.html</w:t>
        </w:r>
      </w:hyperlink>
      <w:r/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4. </w:t>
      </w:r>
      <w:hyperlink r:id="rId16" w:tooltip="http://www.artwall.ru/index.phtml?categoryID=101" w:history="1">
        <w:r>
          <w:rPr>
            <w:rStyle w:val="738"/>
          </w:rPr>
          <w:t xml:space="preserve">http://www.artwall.ru/index.phtml?categoryID=101</w:t>
        </w:r>
      </w:hyperlink>
      <w:r/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5. </w:t>
      </w:r>
      <w:hyperlink r:id="rId17" w:tooltip="http://www.picturesrembrandt.org/" w:history="1">
        <w:r>
          <w:rPr>
            <w:rStyle w:val="738"/>
          </w:rPr>
          <w:t xml:space="preserve">http://www.picturesrembrandt.org/</w:t>
        </w:r>
      </w:hyperlink>
      <w:r/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6. </w:t>
      </w:r>
      <w:hyperlink r:id="rId18" w:tooltip="http://www.shazina.com/Category.aspx?CategoryID=1" w:history="1">
        <w:r>
          <w:rPr>
            <w:rStyle w:val="738"/>
          </w:rPr>
          <w:t xml:space="preserve">http://www.shazina.com/Category.aspx?CategoryID=1</w:t>
        </w:r>
      </w:hyperlink>
      <w:r/>
      <w:r/>
    </w:p>
    <w:p>
      <w:pPr>
        <w:contextualSpacing/>
        <w:ind w:firstLine="709"/>
        <w:rPr>
          <w:rStyle w:val="744"/>
          <w:color w:val="000000"/>
        </w:rPr>
      </w:pPr>
      <w:r>
        <w:rPr>
          <w:rStyle w:val="744"/>
          <w:color w:val="000000"/>
        </w:rPr>
        <w:t xml:space="preserve">7. </w:t>
      </w:r>
      <w:hyperlink r:id="rId19" w:tooltip="http://artgorod.ru/news.php" w:history="1">
        <w:r>
          <w:rPr>
            <w:rStyle w:val="738"/>
          </w:rPr>
          <w:t xml:space="preserve">http://artgorod.ru/news.php</w:t>
        </w:r>
      </w:hyperlink>
      <w:r/>
      <w:r/>
    </w:p>
    <w:p>
      <w:pPr>
        <w:contextualSpacing/>
        <w:rPr>
          <w:b/>
          <w:i/>
        </w:rPr>
      </w:pPr>
      <w:r>
        <w:rPr>
          <w:b/>
          <w:i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</w:r>
      <w:r/>
    </w:p>
    <w:p>
      <w:pPr>
        <w:contextualSpacing/>
        <w:ind w:left="360"/>
        <w:jc w:val="center"/>
        <w:rPr>
          <w:b/>
        </w:rPr>
      </w:pPr>
      <w:r>
        <w:rPr>
          <w:b/>
        </w:rPr>
        <w:t xml:space="preserve">4. КОНТРОЛЬ И ОЦЕНКА РЕЗУЛЬТАТОВ ОСВОЕНИЯ </w:t>
      </w:r>
      <w:r>
        <w:rPr>
          <w:b/>
        </w:rPr>
        <w:br/>
      </w:r>
      <w:r>
        <w:rPr>
          <w:b/>
        </w:rPr>
        <w:t xml:space="preserve">УЧЕБНОЙ ДИСЦИПЛИНЫ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85"/>
        <w:gridCol w:w="3625"/>
        <w:gridCol w:w="2512"/>
      </w:tblGrid>
      <w:tr>
        <w:trPr/>
        <w:tc>
          <w:tcPr>
            <w:tcW w:w="2056" w:type="pct"/>
            <w:textDirection w:val="lrTb"/>
            <w:noWrap w:val="false"/>
          </w:tcPr>
          <w:p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Результаты обучения</w:t>
            </w:r>
            <w:r>
              <w:t xml:space="preserve"> </w:t>
            </w:r>
            <w:r/>
          </w:p>
        </w:tc>
        <w:tc>
          <w:tcPr>
            <w:tcW w:w="1739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Критерии оценки</w:t>
            </w:r>
            <w:r/>
          </w:p>
        </w:tc>
        <w:tc>
          <w:tcPr>
            <w:tcW w:w="120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Методы оценки</w:t>
            </w:r>
            <w:r/>
          </w:p>
        </w:tc>
      </w:tr>
      <w:tr>
        <w:trPr/>
        <w:tc>
          <w:tcPr>
            <w:tcW w:w="2056" w:type="pct"/>
            <w:textDirection w:val="lrTb"/>
            <w:noWrap w:val="false"/>
          </w:tcPr>
          <w:p>
            <w:pPr>
              <w:pStyle w:val="733"/>
              <w:ind w:left="0"/>
              <w:jc w:val="both"/>
              <w:tabs>
                <w:tab w:val="left" w:pos="255" w:leader="none"/>
                <w:tab w:val="left" w:pos="1134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Знания:</w:t>
            </w:r>
            <w:r/>
          </w:p>
        </w:tc>
        <w:tc>
          <w:tcPr>
            <w:tcW w:w="1739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  <w:tc>
          <w:tcPr>
            <w:tcW w:w="1205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/>
          </w:p>
        </w:tc>
      </w:tr>
      <w:tr>
        <w:trPr>
          <w:trHeight w:val="1690"/>
        </w:trPr>
        <w:tc>
          <w:tcPr>
            <w:tcW w:w="2056" w:type="pct"/>
            <w:textDirection w:val="lrTb"/>
            <w:noWrap w:val="false"/>
          </w:tcPr>
          <w:p>
            <w:pPr>
              <w:jc w:val="both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 xml:space="preserve">методов самоанализа и коррекции своей деятельности на основании достигнутых результатов;</w:t>
            </w:r>
            <w:r/>
          </w:p>
          <w:p>
            <w:pPr>
              <w:jc w:val="both"/>
            </w:pPr>
            <w:r>
              <w:t xml:space="preserve">принципы образования структуры объема и его формообразующие элементы;</w:t>
            </w:r>
            <w:r/>
          </w:p>
          <w:p>
            <w:pPr>
              <w:jc w:val="both"/>
            </w:pPr>
            <w:r>
              <w:t xml:space="preserve">приемы нахождения точных пропорций;</w:t>
            </w:r>
            <w:r/>
          </w:p>
          <w:p>
            <w:pPr>
              <w:jc w:val="both"/>
            </w:pPr>
            <w:r>
              <w:t xml:space="preserve">способы передачи в рисунке тоновой информации, выражающей пластику формы предмета;</w:t>
            </w:r>
            <w:r/>
          </w:p>
          <w:p>
            <w:pPr>
              <w:jc w:val="both"/>
              <w:tabs>
                <w:tab w:val="left" w:pos="266" w:leader="none"/>
              </w:tabs>
              <w:rPr>
                <w:highlight w:val="yellow"/>
                <w:lang w:eastAsia="en-US"/>
              </w:rPr>
            </w:pPr>
            <w:r>
              <w:t xml:space="preserve">основы композиционных закономерностей, стилевых особенностей и конструктивной логики архитектурного сооружения</w:t>
            </w:r>
            <w:r/>
          </w:p>
        </w:tc>
        <w:tc>
          <w:tcPr>
            <w:tcW w:w="1739" w:type="pct"/>
            <w:textDirection w:val="lrTb"/>
            <w:noWrap w:val="false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выбирает соответствующие способы передачи в рисунке и живописи пластики формы предметов; </w:t>
            </w:r>
            <w:r/>
          </w:p>
          <w:p>
            <w:pPr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аргументирует последовательность выполнения;</w:t>
            </w:r>
            <w:r/>
          </w:p>
          <w:p>
            <w:pPr>
              <w:contextualSpacing/>
            </w:pPr>
            <w:r>
              <w:rPr>
                <w:lang w:eastAsia="zh-CN"/>
              </w:rPr>
              <w:t xml:space="preserve">демонстрирует знания композиционных закономерностей.</w:t>
            </w:r>
            <w:r/>
          </w:p>
        </w:tc>
        <w:tc>
          <w:tcPr>
            <w:tcW w:w="1205" w:type="pct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bCs/>
                <w:lang w:eastAsia="en-US"/>
              </w:rPr>
              <w:t xml:space="preserve">тестирование, устный опрос</w:t>
            </w:r>
            <w:r>
              <w:rPr>
                <w:iCs/>
              </w:rPr>
              <w:t xml:space="preserve">, </w:t>
            </w:r>
            <w:r>
              <w:rPr>
                <w:bCs/>
                <w:lang w:eastAsia="en-US"/>
              </w:rPr>
              <w:t xml:space="preserve">экспертная оценка по результатам наблюдения за деятельностью студента в процессе освоения учебной дисциплины  </w:t>
            </w:r>
            <w:r/>
          </w:p>
        </w:tc>
      </w:tr>
      <w:tr>
        <w:trPr/>
        <w:tc>
          <w:tcPr>
            <w:shd w:val="clear" w:color="auto" w:fill="auto"/>
            <w:tcW w:w="2056" w:type="pct"/>
            <w:textDirection w:val="lrTb"/>
            <w:noWrap w:val="false"/>
          </w:tcPr>
          <w:p>
            <w:pPr>
              <w:pStyle w:val="733"/>
              <w:ind w:left="0"/>
              <w:jc w:val="both"/>
              <w:tabs>
                <w:tab w:val="left" w:pos="255" w:leader="none"/>
                <w:tab w:val="left" w:pos="1134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</w:t>
            </w:r>
            <w:r/>
          </w:p>
        </w:tc>
        <w:tc>
          <w:tcPr>
            <w:tcW w:w="1739" w:type="pct"/>
            <w:textDirection w:val="lrTb"/>
            <w:noWrap w:val="false"/>
          </w:tcPr>
          <w:p>
            <w:pPr>
              <w:rPr>
                <w:bCs/>
                <w:i/>
                <w:highlight w:val="yellow"/>
              </w:rPr>
            </w:pPr>
            <w:r>
              <w:rPr>
                <w:bCs/>
                <w:i/>
                <w:highlight w:val="yellow"/>
              </w:rPr>
            </w:r>
            <w:r/>
          </w:p>
        </w:tc>
        <w:tc>
          <w:tcPr>
            <w:tcW w:w="1205" w:type="pct"/>
            <w:textDirection w:val="lrTb"/>
            <w:noWrap w:val="false"/>
          </w:tcPr>
          <w:p>
            <w:pPr>
              <w:rPr>
                <w:bCs/>
                <w:i/>
                <w:highlight w:val="yellow"/>
              </w:rPr>
            </w:pPr>
            <w:r>
              <w:rPr>
                <w:bCs/>
                <w:i/>
                <w:highlight w:val="yellow"/>
              </w:rPr>
            </w:r>
            <w:r/>
          </w:p>
        </w:tc>
      </w:tr>
      <w:tr>
        <w:trPr>
          <w:trHeight w:val="273"/>
        </w:trPr>
        <w:tc>
          <w:tcPr>
            <w:shd w:val="clear" w:color="auto" w:fill="auto"/>
            <w:tcW w:w="2056" w:type="pct"/>
            <w:textDirection w:val="lrTb"/>
            <w:noWrap w:val="false"/>
          </w:tcPr>
          <w:p>
            <w:pPr>
              <w:jc w:val="both"/>
            </w:pPr>
            <w:r>
              <w:t xml:space="preserve">определять этапы решения задач;</w:t>
            </w:r>
            <w:r/>
          </w:p>
          <w:p>
            <w:pPr>
              <w:jc w:val="both"/>
            </w:pPr>
            <w:r>
              <w:rPr>
                <w:bCs/>
              </w:rPr>
              <w:t xml:space="preserve">взаимодействует с коллегами и преподавателем в ходе работы над рисунком;</w:t>
            </w:r>
            <w:r/>
          </w:p>
          <w:p>
            <w:pPr>
              <w:jc w:val="both"/>
            </w:pPr>
            <w:r>
              <w:t xml:space="preserve">изображать отдельные предметы, группы предметов, архитектурные и другие формы с натуры с учетом перспективных сокращений;</w:t>
            </w:r>
            <w:r/>
          </w:p>
          <w:p>
            <w:pPr>
              <w:jc w:val="both"/>
            </w:pPr>
            <w:r>
              <w:t xml:space="preserve">определять в процессе анализа основные пропорции, составляющие композицию предметов   и правильно располагать их на листе определенного формата;</w:t>
            </w:r>
            <w:r/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</w:rPr>
            </w:pPr>
            <w:r>
              <w:t xml:space="preserve">пользоваться различными изобразительными материалами и техническими приемами</w:t>
            </w:r>
            <w:r>
              <w:rPr>
                <w:spacing w:val="-6"/>
                <w:lang w:eastAsia="zh-CN"/>
              </w:rPr>
              <w:t xml:space="preserve">.</w:t>
            </w:r>
            <w:r/>
          </w:p>
        </w:tc>
        <w:tc>
          <w:tcPr>
            <w:tcW w:w="1739" w:type="pct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рационально компонует рисунок на листе, </w:t>
            </w:r>
            <w:r/>
          </w:p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определяет пропорции; </w:t>
            </w:r>
            <w:r/>
          </w:p>
          <w:p>
            <w:pPr>
              <w:jc w:val="both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 xml:space="preserve">формирует композицию рисунка;</w:t>
            </w:r>
            <w:r/>
          </w:p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пользуется различными материалами (акварель, гуашь, карандаш и т.д.);</w:t>
            </w:r>
            <w:r/>
          </w:p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владеет различными способами передачи фактуры материалов; </w:t>
            </w:r>
            <w:r/>
          </w:p>
          <w:p>
            <w:r>
              <w:t xml:space="preserve">передает световое изображение (тень, пятно...)</w:t>
            </w:r>
            <w:r/>
          </w:p>
        </w:tc>
        <w:tc>
          <w:tcPr>
            <w:tcW w:w="1205" w:type="pct"/>
            <w:textDirection w:val="lrTb"/>
            <w:noWrap w:val="false"/>
          </w:tcPr>
          <w:p>
            <w:pPr>
              <w:jc w:val="both"/>
              <w:rPr>
                <w:bCs/>
                <w:iCs/>
              </w:rPr>
            </w:pPr>
            <w:r>
              <w:rPr>
                <w:bCs/>
                <w:lang w:eastAsia="en-US"/>
              </w:rPr>
              <w:t xml:space="preserve">экспертная оценка по результатам наблюдения за деятельностью студента в процессе выполнения практических работ и</w:t>
            </w:r>
            <w:r>
              <w:rPr>
                <w:bCs/>
                <w:lang w:eastAsia="en-US"/>
              </w:rPr>
              <w:t xml:space="preserve"> работ практической направленности,</w:t>
            </w:r>
            <w:r>
              <w:rPr>
                <w:bCs/>
                <w:lang w:eastAsia="en-US"/>
              </w:rPr>
              <w:t xml:space="preserve"> индивидуальных заданий</w:t>
            </w:r>
            <w:r/>
          </w:p>
        </w:tc>
      </w:tr>
    </w:tbl>
    <w:p>
      <w:pPr>
        <w:pStyle w:val="707"/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sectPr>
      <w:footnotePr/>
      <w:endnotePr/>
      <w:type w:val="nextPage"/>
      <w:pgSz w:w="11906" w:h="16838" w:orient="portrait"/>
      <w:pgMar w:top="1134" w:right="424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6963204"/>
      <w:rPr/>
    </w:sdtPr>
    <w:sdtContent>
      <w:p>
        <w:pPr>
          <w:pStyle w:val="73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5.2.%1."/>
      <w:legacy w:legacy="1" w:legacyIndent="69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</w:rPr>
    </w:lvl>
    <w:lvl w:ilvl="1">
      <w:start w:val="2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 w:cs="Times New Roman"/>
        <w:b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cs="Times New Roman"/>
        <w:b w:val="0"/>
        <w:bCs/>
      </w:rPr>
    </w:lvl>
    <w:lvl w:ilvl="1">
      <w:start w:val="2"/>
      <w:numFmt w:val="decimal"/>
      <w:isLgl/>
      <w:suff w:val="tab"/>
      <w:lvlText w:val="%1.%2."/>
      <w:lvlJc w:val="left"/>
      <w:pPr>
        <w:ind w:left="851" w:hanging="60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189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658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767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236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5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14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5.4.%1."/>
      <w:legacy w:legacy="1" w:legacyIndent="68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5.4.%1."/>
      <w:legacy w:legacy="1" w:legacyIndent="68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5.2.%1."/>
      <w:legacy w:legacy="1" w:legacyIndent="69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</w:num>
  <w:num w:numId="2">
    <w:abstractNumId w:val="22"/>
  </w:num>
  <w:num w:numId="3">
    <w:abstractNumId w:val="2"/>
  </w:num>
  <w:num w:numId="4">
    <w:abstractNumId w:val="18"/>
  </w:num>
  <w:num w:numId="5">
    <w:abstractNumId w:val="20"/>
  </w:num>
  <w:num w:numId="6">
    <w:abstractNumId w:val="4"/>
  </w:num>
  <w:num w:numId="7">
    <w:abstractNumId w:val="21"/>
  </w:num>
  <w:num w:numId="8">
    <w:abstractNumId w:val="10"/>
  </w:num>
  <w:num w:numId="9">
    <w:abstractNumId w:val="15"/>
  </w:num>
  <w:num w:numId="10">
    <w:abstractNumId w:val="6"/>
  </w:num>
  <w:num w:numId="11">
    <w:abstractNumId w:val="12"/>
  </w:num>
  <w:num w:numId="12">
    <w:abstractNumId w:val="8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5"/>
  </w:num>
  <w:num w:numId="18">
    <w:abstractNumId w:val="9"/>
  </w:num>
  <w:num w:numId="19">
    <w:abstractNumId w:val="3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0"/>
    <w:link w:val="70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0"/>
    <w:link w:val="70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0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0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0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0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0"/>
    <w:link w:val="734"/>
    <w:uiPriority w:val="99"/>
  </w:style>
  <w:style w:type="character" w:styleId="45">
    <w:name w:val="Footer Char"/>
    <w:basedOn w:val="710"/>
    <w:link w:val="736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6"/>
    <w:uiPriority w:val="99"/>
  </w:style>
  <w:style w:type="table" w:styleId="48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3ebf0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3ebf0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3ebf0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3ebf0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5ebf0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5ebf0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3ea2b7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ed36d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c42d31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8d67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96430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75a8d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3ebf0" w:themeFill="accent1" w:themeFillTint="34"/>
    </w:tblPr>
    <w:tblStylePr w:type="band1Horz">
      <w:tcPr>
        <w:shd w:val="clear" w:color="ffffff" w:themeColor="accent1" w:themeTint="75" w:fill="9cd2dd" w:themeFill="accent1" w:themeFillTint="75"/>
      </w:tcPr>
    </w:tblStylePr>
    <w:tblStylePr w:type="band1Vert">
      <w:tcPr>
        <w:shd w:val="clear" w:color="ffffff" w:themeColor="accent1" w:themeTint="75" w:fill="9cd2dd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3891a7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3891a7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3891a7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3891a7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ef0cf" w:themeFill="accent2" w:themeFillTint="32"/>
    </w:tblPr>
    <w:tblStylePr w:type="band1Horz">
      <w:tcPr>
        <w:shd w:val="clear" w:color="ffffff" w:themeColor="accent2" w:themeTint="75" w:fill="fedd8f" w:themeFill="accent2" w:themeFillTint="75"/>
      </w:tcPr>
    </w:tblStylePr>
    <w:tblStylePr w:type="band1Vert">
      <w:tcPr>
        <w:shd w:val="clear" w:color="ffffff" w:themeColor="accent2" w:themeTint="75" w:fill="fedd8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feb80a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feb80a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feb80a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feb80a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4d1d2" w:themeFill="accent3" w:themeFillTint="34"/>
    </w:tblPr>
    <w:tblStylePr w:type="band1Horz">
      <w:tcPr>
        <w:shd w:val="clear" w:color="ffffff" w:themeColor="accent3" w:themeTint="75" w:fill="e79a9c" w:themeFill="accent3" w:themeFillTint="75"/>
      </w:tcPr>
    </w:tblStylePr>
    <w:tblStylePr w:type="band1Vert">
      <w:tcPr>
        <w:shd w:val="clear" w:color="ffffff" w:themeColor="accent3" w:themeTint="75" w:fill="e79a9c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c32d2e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c32d2e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c32d2e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c32d2e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6f1d0" w:themeFill="accent4" w:themeFillTint="34"/>
    </w:tblPr>
    <w:tblStylePr w:type="band1Horz">
      <w:tcPr>
        <w:shd w:val="clear" w:color="ffffff" w:themeColor="accent4" w:themeTint="75" w:fill="c9df98" w:themeFill="accent4" w:themeFillTint="75"/>
      </w:tcPr>
    </w:tblStylePr>
    <w:tblStylePr w:type="band1Vert">
      <w:tcPr>
        <w:shd w:val="clear" w:color="ffffff" w:themeColor="accent4" w:themeTint="75" w:fill="c9df98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4aa3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4aa3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4aa3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4aa3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cd5b9" w:themeFill="accent5" w:themeFillTint="34"/>
    </w:tblPr>
    <w:tblStylePr w:type="band1Horz">
      <w:tcPr>
        <w:shd w:val="clear" w:color="ffffff" w:themeColor="accent5" w:themeTint="75" w:fill="f9a160" w:themeFill="accent5" w:themeFillTint="75"/>
      </w:tcPr>
    </w:tblStylePr>
    <w:tblStylePr w:type="band1Vert">
      <w:tcPr>
        <w:shd w:val="clear" w:color="ffffff" w:themeColor="accent5" w:themeTint="75" w:fill="f9a160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96430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96430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96430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96430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7dcea" w:themeFill="accent6" w:themeFillTint="34"/>
    </w:tblPr>
    <w:tblStylePr w:type="band1Horz">
      <w:tcPr>
        <w:shd w:val="clear" w:color="ffffff" w:themeColor="accent6" w:themeTint="75" w:fill="a4b1d1" w:themeFill="accent6" w:themeFillTint="75"/>
      </w:tcPr>
    </w:tblStylePr>
    <w:tblStylePr w:type="band1Vert">
      <w:tcPr>
        <w:shd w:val="clear" w:color="ffffff" w:themeColor="accent6" w:themeTint="75" w:fill="a4b1d1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75a8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75a8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75a8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75a8d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3ebf0" w:themeFill="accent1" w:themeFillTint="34"/>
      </w:tcPr>
    </w:tblStylePr>
    <w:tblStylePr w:type="band1Vert">
      <w:tcPr>
        <w:shd w:val="clear" w:color="ffffff" w:themeColor="accent1" w:themeTint="34" w:fill="d3ebf0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8d9d" w:themeColor="accent1" w:themeTint="80" w:themeShade="95"/>
      </w:rPr>
    </w:tblStylePr>
    <w:tblStylePr w:type="firstRow">
      <w:rPr>
        <w:b/>
        <w:color w:val="368d9d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8d9d" w:themeColor="accent1" w:themeTint="80" w:themeShade="95"/>
      </w:rPr>
    </w:tblStylePr>
    <w:tblStylePr w:type="lastRow">
      <w:rPr>
        <w:b/>
        <w:color w:val="368d9d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ef0cf" w:themeFill="accent2" w:themeFillTint="32"/>
      </w:tcPr>
    </w:tblStylePr>
    <w:tblStylePr w:type="band1Vert">
      <w:tcPr>
        <w:shd w:val="clear" w:color="ffffff" w:themeColor="accent2" w:themeTint="32" w:fill="fef0c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d29001" w:themeColor="accent2" w:themeTint="97" w:themeShade="95"/>
      </w:rPr>
    </w:tblStylePr>
    <w:tblStylePr w:type="firstRow">
      <w:rPr>
        <w:b/>
        <w:color w:val="d29001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d29001" w:themeColor="accent2" w:themeTint="97" w:themeShade="95"/>
      </w:rPr>
    </w:tblStylePr>
    <w:tblStylePr w:type="lastRow">
      <w:rPr>
        <w:b/>
        <w:color w:val="d29001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4d1d2" w:themeFill="accent3" w:themeFillTint="34"/>
      </w:tcPr>
    </w:tblStylePr>
    <w:tblStylePr w:type="band1Vert">
      <w:tcPr>
        <w:shd w:val="clear" w:color="ffffff" w:themeColor="accent3" w:themeTint="34" w:fill="f4d1d2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711a1e" w:themeColor="accent3" w:themeTint="FE" w:themeShade="95"/>
      </w:rPr>
    </w:tblStylePr>
    <w:tblStylePr w:type="firstRow">
      <w:rPr>
        <w:b/>
        <w:color w:val="711a1e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711a1e" w:themeColor="accent3" w:themeTint="FE" w:themeShade="95"/>
      </w:rPr>
    </w:tblStylePr>
    <w:tblStylePr w:type="lastRow">
      <w:rPr>
        <w:b/>
        <w:color w:val="711a1e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6f1d0" w:themeFill="accent4" w:themeFillTint="34"/>
      </w:tcPr>
    </w:tblStylePr>
    <w:tblStylePr w:type="band1Vert">
      <w:tcPr>
        <w:shd w:val="clear" w:color="ffffff" w:themeColor="accent4" w:themeTint="34" w:fill="e6f1d0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76942d" w:themeColor="accent4" w:themeTint="9A" w:themeShade="95"/>
      </w:rPr>
    </w:tblStylePr>
    <w:tblStylePr w:type="firstRow">
      <w:rPr>
        <w:b/>
        <w:color w:val="76942d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76942d" w:themeColor="accent4" w:themeTint="9A" w:themeShade="95"/>
      </w:rPr>
    </w:tblStylePr>
    <w:tblStylePr w:type="lastRow">
      <w:rPr>
        <w:b/>
        <w:color w:val="76942d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cd5b9" w:themeFill="accent5" w:themeFillTint="34"/>
      </w:tcPr>
    </w:tblStylePr>
    <w:tblStylePr w:type="band1Vert">
      <w:tcPr>
        <w:shd w:val="clear" w:color="ffffff" w:themeColor="accent5" w:themeTint="34" w:fill="fcd5b9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72603" w:themeColor="accent5" w:themeShade="95"/>
      </w:rPr>
    </w:tblStylePr>
    <w:tblStylePr w:type="firstRow">
      <w:rPr>
        <w:b/>
        <w:color w:val="572603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72603" w:themeColor="accent5" w:themeShade="95"/>
      </w:rPr>
    </w:tblStylePr>
    <w:tblStylePr w:type="lastRow">
      <w:rPr>
        <w:b/>
        <w:color w:val="572603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7dcea" w:themeFill="accent6" w:themeFillTint="34"/>
      </w:tcPr>
    </w:tblStylePr>
    <w:tblStylePr w:type="band1Vert">
      <w:tcPr>
        <w:shd w:val="clear" w:color="ffffff" w:themeColor="accent6" w:themeTint="34" w:fill="d7dcea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72603" w:themeColor="accent5" w:themeShade="95"/>
      </w:rPr>
    </w:tblStylePr>
    <w:tblStylePr w:type="firstRow">
      <w:rPr>
        <w:b/>
        <w:color w:val="572603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72603" w:themeColor="accent5" w:themeShade="95"/>
      </w:rPr>
    </w:tblStylePr>
    <w:tblStylePr w:type="lastRow">
      <w:rPr>
        <w:b/>
        <w:color w:val="572603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8d9d" w:themeColor="accent1" w:themeTint="80" w:themeShade="95"/>
        <w:sz w:val="22"/>
      </w:rPr>
      <w:tcPr>
        <w:shd w:val="clear" w:color="ffffff" w:themeColor="accent1" w:themeTint="34" w:fill="d3ebf0" w:themeFill="accent1" w:themeFillTint="34"/>
      </w:tcPr>
    </w:tblStylePr>
    <w:tblStylePr w:type="band1Vert">
      <w:tcPr>
        <w:shd w:val="clear" w:color="ffffff" w:themeColor="accent1" w:themeTint="34" w:fill="d3ebf0" w:themeFill="accent1" w:themeFillTint="34"/>
      </w:tcPr>
    </w:tblStylePr>
    <w:tblStylePr w:type="band2Horz">
      <w:rPr>
        <w:rFonts w:ascii="Arial" w:hAnsi="Arial"/>
        <w:color w:val="368d9d" w:themeColor="accent1" w:themeTint="80" w:themeShade="95"/>
        <w:sz w:val="22"/>
      </w:rPr>
    </w:tblStylePr>
    <w:tblStylePr w:type="firstCol">
      <w:rPr>
        <w:rFonts w:ascii="Arial" w:hAnsi="Arial"/>
        <w:i/>
        <w:color w:val="368d9d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8d9d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8d9d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8d9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d29001" w:themeColor="accent2" w:themeTint="97" w:themeShade="95"/>
        <w:sz w:val="22"/>
      </w:rPr>
      <w:tcPr>
        <w:shd w:val="clear" w:color="ffffff" w:themeColor="accent2" w:themeTint="32" w:fill="fef0cf" w:themeFill="accent2" w:themeFillTint="32"/>
      </w:tcPr>
    </w:tblStylePr>
    <w:tblStylePr w:type="band1Vert">
      <w:tcPr>
        <w:shd w:val="clear" w:color="ffffff" w:themeColor="accent2" w:themeTint="32" w:fill="fef0cf" w:themeFill="accent2" w:themeFillTint="32"/>
      </w:tcPr>
    </w:tblStylePr>
    <w:tblStylePr w:type="band2Horz">
      <w:rPr>
        <w:rFonts w:ascii="Arial" w:hAnsi="Arial"/>
        <w:color w:val="d29001" w:themeColor="accent2" w:themeTint="97" w:themeShade="95"/>
        <w:sz w:val="22"/>
      </w:rPr>
    </w:tblStylePr>
    <w:tblStylePr w:type="firstCol">
      <w:rPr>
        <w:rFonts w:ascii="Arial" w:hAnsi="Arial"/>
        <w:i/>
        <w:color w:val="d29001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d29001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d29001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29001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711a1e" w:themeColor="accent3" w:themeTint="FE" w:themeShade="95"/>
        <w:sz w:val="22"/>
      </w:rPr>
      <w:tcPr>
        <w:shd w:val="clear" w:color="ffffff" w:themeColor="accent3" w:themeTint="34" w:fill="f4d1d2" w:themeFill="accent3" w:themeFillTint="34"/>
      </w:tcPr>
    </w:tblStylePr>
    <w:tblStylePr w:type="band1Vert">
      <w:tcPr>
        <w:shd w:val="clear" w:color="ffffff" w:themeColor="accent3" w:themeTint="34" w:fill="f4d1d2" w:themeFill="accent3" w:themeFillTint="34"/>
      </w:tcPr>
    </w:tblStylePr>
    <w:tblStylePr w:type="band2Horz">
      <w:rPr>
        <w:rFonts w:ascii="Arial" w:hAnsi="Arial"/>
        <w:color w:val="711a1e" w:themeColor="accent3" w:themeTint="FE" w:themeShade="95"/>
        <w:sz w:val="22"/>
      </w:rPr>
    </w:tblStylePr>
    <w:tblStylePr w:type="firstCol">
      <w:rPr>
        <w:rFonts w:ascii="Arial" w:hAnsi="Arial"/>
        <w:i/>
        <w:color w:val="711a1e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711a1e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711a1e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11a1e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76942d" w:themeColor="accent4" w:themeTint="9A" w:themeShade="95"/>
        <w:sz w:val="22"/>
      </w:rPr>
      <w:tcPr>
        <w:shd w:val="clear" w:color="ffffff" w:themeColor="accent4" w:themeTint="34" w:fill="e6f1d0" w:themeFill="accent4" w:themeFillTint="34"/>
      </w:tcPr>
    </w:tblStylePr>
    <w:tblStylePr w:type="band1Vert">
      <w:tcPr>
        <w:shd w:val="clear" w:color="ffffff" w:themeColor="accent4" w:themeTint="34" w:fill="e6f1d0" w:themeFill="accent4" w:themeFillTint="34"/>
      </w:tcPr>
    </w:tblStylePr>
    <w:tblStylePr w:type="band2Horz">
      <w:rPr>
        <w:rFonts w:ascii="Arial" w:hAnsi="Arial"/>
        <w:color w:val="76942d" w:themeColor="accent4" w:themeTint="9A" w:themeShade="95"/>
        <w:sz w:val="22"/>
      </w:rPr>
    </w:tblStylePr>
    <w:tblStylePr w:type="firstCol">
      <w:rPr>
        <w:rFonts w:ascii="Arial" w:hAnsi="Arial"/>
        <w:i/>
        <w:color w:val="76942d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76942d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76942d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6942d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72603" w:themeColor="accent5" w:themeShade="95"/>
        <w:sz w:val="22"/>
      </w:rPr>
      <w:tcPr>
        <w:shd w:val="clear" w:color="ffffff" w:themeColor="accent5" w:themeTint="34" w:fill="fcd5b9" w:themeFill="accent5" w:themeFillTint="34"/>
      </w:tcPr>
    </w:tblStylePr>
    <w:tblStylePr w:type="band1Vert">
      <w:tcPr>
        <w:shd w:val="clear" w:color="ffffff" w:themeColor="accent5" w:themeTint="34" w:fill="fcd5b9" w:themeFill="accent5" w:themeFillTint="34"/>
      </w:tcPr>
    </w:tblStylePr>
    <w:tblStylePr w:type="band2Horz">
      <w:rPr>
        <w:rFonts w:ascii="Arial" w:hAnsi="Arial"/>
        <w:color w:val="572603" w:themeColor="accent5" w:themeShade="95"/>
        <w:sz w:val="22"/>
      </w:rPr>
    </w:tblStylePr>
    <w:tblStylePr w:type="firstCol">
      <w:rPr>
        <w:rFonts w:ascii="Arial" w:hAnsi="Arial"/>
        <w:i/>
        <w:color w:val="572603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72603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72603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72603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93552" w:themeColor="accent6" w:themeShade="95"/>
        <w:sz w:val="22"/>
      </w:rPr>
      <w:tcPr>
        <w:shd w:val="clear" w:color="ffffff" w:themeColor="accent6" w:themeTint="34" w:fill="d7dcea" w:themeFill="accent6" w:themeFillTint="34"/>
      </w:tcPr>
    </w:tblStylePr>
    <w:tblStylePr w:type="band1Vert">
      <w:tcPr>
        <w:shd w:val="clear" w:color="ffffff" w:themeColor="accent6" w:themeTint="34" w:fill="d7dcea" w:themeFill="accent6" w:themeFillTint="34"/>
      </w:tcPr>
    </w:tblStylePr>
    <w:tblStylePr w:type="band2Horz">
      <w:rPr>
        <w:rFonts w:ascii="Arial" w:hAnsi="Arial"/>
        <w:color w:val="293552" w:themeColor="accent6" w:themeShade="95"/>
        <w:sz w:val="22"/>
      </w:rPr>
    </w:tblStylePr>
    <w:tblStylePr w:type="firstCol">
      <w:rPr>
        <w:rFonts w:ascii="Arial" w:hAnsi="Arial"/>
        <w:i/>
        <w:color w:val="293552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93552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93552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93552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9e6ec" w:themeFill="accent1" w:themeFillTint="40"/>
      </w:tcPr>
    </w:tblStylePr>
    <w:tblStylePr w:type="band1Vert">
      <w:tcPr>
        <w:shd w:val="clear" w:color="ffffff" w:themeColor="accent1" w:themeTint="40" w:fill="c9e6ec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eecc1" w:themeFill="accent2" w:themeFillTint="40"/>
      </w:tcPr>
    </w:tblStylePr>
    <w:tblStylePr w:type="band1Vert">
      <w:tcPr>
        <w:shd w:val="clear" w:color="ffffff" w:themeColor="accent2" w:themeTint="40" w:fill="feecc1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2c7c8" w:themeFill="accent3" w:themeFillTint="40"/>
      </w:tcPr>
    </w:tblStylePr>
    <w:tblStylePr w:type="band1Vert">
      <w:tcPr>
        <w:shd w:val="clear" w:color="ffffff" w:themeColor="accent3" w:themeTint="40" w:fill="f2c7c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e2eec7" w:themeFill="accent4" w:themeFillTint="40"/>
      </w:tcPr>
    </w:tblStylePr>
    <w:tblStylePr w:type="band1Vert">
      <w:tcPr>
        <w:shd w:val="clear" w:color="ffffff" w:themeColor="accent4" w:themeTint="40" w:fill="e2eec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ccba7" w:themeFill="accent5" w:themeFillTint="40"/>
      </w:tcPr>
    </w:tblStylePr>
    <w:tblStylePr w:type="band1Vert">
      <w:tcPr>
        <w:shd w:val="clear" w:color="ffffff" w:themeColor="accent5" w:themeTint="40" w:fill="fccba7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cdd4e6" w:themeFill="accent6" w:themeFillTint="40"/>
      </w:tcPr>
    </w:tblStylePr>
    <w:tblStylePr w:type="band1Vert">
      <w:tcPr>
        <w:shd w:val="clear" w:color="ffffff" w:themeColor="accent6" w:themeTint="40" w:fill="cdd4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9e6ec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9e6ec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eecc1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eecc1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2c7c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2c7c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e2eec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e2eec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ccba7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ccba7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cdd4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cdd4e6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3891a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ed36d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e07d7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8d67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78430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8899c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9e6ec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9e6ec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3891a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eecc1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eecc1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feb80a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2c7c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2c7c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c32d2e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e2eec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e2eec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4aa3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ccba7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ccba7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96430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cdd4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cdd4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75a8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3891a7" w:themeFill="accent1"/>
    </w:tblPr>
    <w:tblStylePr w:type="band1Horz">
      <w:tcPr>
        <w:shd w:val="clear" w:color="ffffff" w:themeColor="accent1" w:fill="3891a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3891a7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3891a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3891a7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ed36d" w:themeFill="accent2" w:themeFillTint="97"/>
    </w:tblPr>
    <w:tblStylePr w:type="band1Horz">
      <w:tcPr>
        <w:shd w:val="clear" w:color="ffffff" w:themeColor="accent2" w:themeTint="97" w:fill="fed36d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ed36d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ed36d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ed36d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e07d7f" w:themeFill="accent3" w:themeFillTint="98"/>
    </w:tblPr>
    <w:tblStylePr w:type="band1Horz">
      <w:tcPr>
        <w:shd w:val="clear" w:color="ffffff" w:themeColor="accent3" w:themeTint="98" w:fill="e07d7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e07d7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e07d7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e07d7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8d677" w:themeFill="accent4" w:themeFillTint="9A"/>
    </w:tblPr>
    <w:tblStylePr w:type="band1Horz">
      <w:tcPr>
        <w:shd w:val="clear" w:color="ffffff" w:themeColor="accent4" w:themeTint="9A" w:fill="b8d67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8d67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8d67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8d67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78430" w:themeFill="accent5" w:themeFillTint="9A"/>
    </w:tblPr>
    <w:tblStylePr w:type="band1Horz">
      <w:tcPr>
        <w:shd w:val="clear" w:color="ffffff" w:themeColor="accent5" w:themeTint="9A" w:fill="f78430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78430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78430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78430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899c3" w:themeFill="accent6" w:themeFillTint="98"/>
    </w:tblPr>
    <w:tblStylePr w:type="band1Horz">
      <w:tcPr>
        <w:shd w:val="clear" w:color="ffffff" w:themeColor="accent6" w:themeTint="98" w:fill="8899c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8899c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8899c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8899c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9e6ec" w:themeFill="accent1" w:themeFillTint="40"/>
      </w:tcPr>
    </w:tblStylePr>
    <w:tblStylePr w:type="band1Vert">
      <w:tcPr>
        <w:shd w:val="clear" w:color="ffffff" w:themeColor="accent1" w:themeTint="40" w:fill="c9e6ec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05561" w:themeColor="accent1" w:themeShade="95"/>
      </w:rPr>
    </w:tblStylePr>
    <w:tblStylePr w:type="firstRow">
      <w:rPr>
        <w:b/>
        <w:color w:val="20556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05561" w:themeColor="accent1" w:themeShade="95"/>
      </w:rPr>
    </w:tblStylePr>
    <w:tblStylePr w:type="lastRow">
      <w:rPr>
        <w:b/>
        <w:color w:val="20556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eecc1" w:themeFill="accent2" w:themeFillTint="40"/>
      </w:tcPr>
    </w:tblStylePr>
    <w:tblStylePr w:type="band1Vert">
      <w:tcPr>
        <w:shd w:val="clear" w:color="ffffff" w:themeColor="accent2" w:themeTint="40" w:fill="feecc1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d29001" w:themeColor="accent2" w:themeTint="97" w:themeShade="95"/>
      </w:rPr>
    </w:tblStylePr>
    <w:tblStylePr w:type="firstRow">
      <w:rPr>
        <w:b/>
        <w:color w:val="d29001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d29001" w:themeColor="accent2" w:themeTint="97" w:themeShade="95"/>
      </w:rPr>
    </w:tblStylePr>
    <w:tblStylePr w:type="lastRow">
      <w:rPr>
        <w:b/>
        <w:color w:val="d29001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2c7c8" w:themeFill="accent3" w:themeFillTint="40"/>
      </w:tcPr>
    </w:tblStylePr>
    <w:tblStylePr w:type="band1Vert">
      <w:tcPr>
        <w:shd w:val="clear" w:color="ffffff" w:themeColor="accent3" w:themeTint="40" w:fill="f2c7c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4272a" w:themeColor="accent3" w:themeTint="98" w:themeShade="95"/>
      </w:rPr>
    </w:tblStylePr>
    <w:tblStylePr w:type="firstRow">
      <w:rPr>
        <w:b/>
        <w:color w:val="a4272a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4272a" w:themeColor="accent3" w:themeTint="98" w:themeShade="95"/>
      </w:rPr>
    </w:tblStylePr>
    <w:tblStylePr w:type="lastRow">
      <w:rPr>
        <w:b/>
        <w:color w:val="a4272a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e2eec7" w:themeFill="accent4" w:themeFillTint="40"/>
      </w:tcPr>
    </w:tblStylePr>
    <w:tblStylePr w:type="band1Vert">
      <w:tcPr>
        <w:shd w:val="clear" w:color="ffffff" w:themeColor="accent4" w:themeTint="40" w:fill="e2eec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76942d" w:themeColor="accent4" w:themeTint="9A" w:themeShade="95"/>
      </w:rPr>
    </w:tblStylePr>
    <w:tblStylePr w:type="firstRow">
      <w:rPr>
        <w:b/>
        <w:color w:val="76942d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76942d" w:themeColor="accent4" w:themeTint="9A" w:themeShade="95"/>
      </w:rPr>
    </w:tblStylePr>
    <w:tblStylePr w:type="lastRow">
      <w:rPr>
        <w:b/>
        <w:color w:val="76942d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ccba7" w:themeFill="accent5" w:themeFillTint="40"/>
      </w:tcPr>
    </w:tblStylePr>
    <w:tblStylePr w:type="band1Vert">
      <w:tcPr>
        <w:shd w:val="clear" w:color="ffffff" w:themeColor="accent5" w:themeTint="40" w:fill="fccba7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a54606" w:themeColor="accent5" w:themeTint="9A" w:themeShade="95"/>
      </w:rPr>
    </w:tblStylePr>
    <w:tblStylePr w:type="firstRow">
      <w:rPr>
        <w:b/>
        <w:color w:val="a54606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a54606" w:themeColor="accent5" w:themeTint="9A" w:themeShade="95"/>
      </w:rPr>
    </w:tblStylePr>
    <w:tblStylePr w:type="lastRow">
      <w:rPr>
        <w:b/>
        <w:color w:val="a54606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cdd4e6" w:themeFill="accent6" w:themeFillTint="40"/>
      </w:tcPr>
    </w:tblStylePr>
    <w:tblStylePr w:type="band1Vert">
      <w:tcPr>
        <w:shd w:val="clear" w:color="ffffff" w:themeColor="accent6" w:themeTint="40" w:fill="cdd4e6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0537f" w:themeColor="accent6" w:themeTint="98" w:themeShade="95"/>
      </w:rPr>
    </w:tblStylePr>
    <w:tblStylePr w:type="firstRow">
      <w:rPr>
        <w:b/>
        <w:color w:val="40537f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0537f" w:themeColor="accent6" w:themeTint="98" w:themeShade="95"/>
      </w:rPr>
    </w:tblStylePr>
    <w:tblStylePr w:type="lastRow">
      <w:rPr>
        <w:b/>
        <w:color w:val="40537f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05561" w:themeColor="accent1" w:themeShade="95"/>
        <w:sz w:val="22"/>
      </w:rPr>
      <w:tcPr>
        <w:shd w:val="clear" w:color="ffffff" w:themeColor="accent1" w:themeTint="40" w:fill="c9e6ec" w:themeFill="accent1" w:themeFillTint="40"/>
      </w:tcPr>
    </w:tblStylePr>
    <w:tblStylePr w:type="band1Vert">
      <w:tcPr>
        <w:shd w:val="clear" w:color="ffffff" w:themeColor="accent1" w:themeTint="40" w:fill="c9e6ec" w:themeFill="accent1" w:themeFillTint="40"/>
      </w:tcPr>
    </w:tblStylePr>
    <w:tblStylePr w:type="band2Horz">
      <w:rPr>
        <w:rFonts w:ascii="Arial" w:hAnsi="Arial"/>
        <w:color w:val="205561" w:themeColor="accent1" w:themeShade="95"/>
        <w:sz w:val="22"/>
      </w:rPr>
    </w:tblStylePr>
    <w:tblStylePr w:type="firstCol">
      <w:rPr>
        <w:rFonts w:ascii="Arial" w:hAnsi="Arial"/>
        <w:i/>
        <w:color w:val="20556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0556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0556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556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05561" w:themeColor="accent1" w:themeShade="95"/>
        <w:sz w:val="22"/>
      </w:rPr>
    </w:tblStylePr>
  </w:style>
  <w:style w:type="table" w:styleId="148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d29001" w:themeColor="accent2" w:themeTint="97" w:themeShade="95"/>
        <w:sz w:val="22"/>
      </w:rPr>
      <w:tcPr>
        <w:shd w:val="clear" w:color="ffffff" w:themeColor="accent2" w:themeTint="40" w:fill="feecc1" w:themeFill="accent2" w:themeFillTint="40"/>
      </w:tcPr>
    </w:tblStylePr>
    <w:tblStylePr w:type="band1Vert">
      <w:tcPr>
        <w:shd w:val="clear" w:color="ffffff" w:themeColor="accent2" w:themeTint="40" w:fill="feecc1" w:themeFill="accent2" w:themeFillTint="40"/>
      </w:tcPr>
    </w:tblStylePr>
    <w:tblStylePr w:type="band2Horz">
      <w:rPr>
        <w:rFonts w:ascii="Arial" w:hAnsi="Arial"/>
        <w:color w:val="d29001" w:themeColor="accent2" w:themeTint="97" w:themeShade="95"/>
        <w:sz w:val="22"/>
      </w:rPr>
    </w:tblStylePr>
    <w:tblStylePr w:type="firstCol">
      <w:rPr>
        <w:rFonts w:ascii="Arial" w:hAnsi="Arial"/>
        <w:i/>
        <w:color w:val="d29001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d29001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d29001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29001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29001" w:themeColor="accent2" w:themeTint="97" w:themeShade="95"/>
        <w:sz w:val="22"/>
      </w:rPr>
    </w:tblStylePr>
  </w:style>
  <w:style w:type="table" w:styleId="149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4272a" w:themeColor="accent3" w:themeTint="98" w:themeShade="95"/>
        <w:sz w:val="22"/>
      </w:rPr>
      <w:tcPr>
        <w:shd w:val="clear" w:color="ffffff" w:themeColor="accent3" w:themeTint="40" w:fill="f2c7c8" w:themeFill="accent3" w:themeFillTint="40"/>
      </w:tcPr>
    </w:tblStylePr>
    <w:tblStylePr w:type="band1Vert">
      <w:tcPr>
        <w:shd w:val="clear" w:color="ffffff" w:themeColor="accent3" w:themeTint="40" w:fill="f2c7c8" w:themeFill="accent3" w:themeFillTint="40"/>
      </w:tcPr>
    </w:tblStylePr>
    <w:tblStylePr w:type="band2Horz">
      <w:rPr>
        <w:rFonts w:ascii="Arial" w:hAnsi="Arial"/>
        <w:color w:val="a4272a" w:themeColor="accent3" w:themeTint="98" w:themeShade="95"/>
        <w:sz w:val="22"/>
      </w:rPr>
    </w:tblStylePr>
    <w:tblStylePr w:type="firstCol">
      <w:rPr>
        <w:rFonts w:ascii="Arial" w:hAnsi="Arial"/>
        <w:i/>
        <w:color w:val="a4272a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4272a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4272a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4272a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4272a" w:themeColor="accent3" w:themeTint="98" w:themeShade="95"/>
        <w:sz w:val="22"/>
      </w:rPr>
    </w:tblStylePr>
  </w:style>
  <w:style w:type="table" w:styleId="150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76942d" w:themeColor="accent4" w:themeTint="9A" w:themeShade="95"/>
        <w:sz w:val="22"/>
      </w:rPr>
      <w:tcPr>
        <w:shd w:val="clear" w:color="ffffff" w:themeColor="accent4" w:themeTint="40" w:fill="e2eec7" w:themeFill="accent4" w:themeFillTint="40"/>
      </w:tcPr>
    </w:tblStylePr>
    <w:tblStylePr w:type="band1Vert">
      <w:tcPr>
        <w:shd w:val="clear" w:color="ffffff" w:themeColor="accent4" w:themeTint="40" w:fill="e2eec7" w:themeFill="accent4" w:themeFillTint="40"/>
      </w:tcPr>
    </w:tblStylePr>
    <w:tblStylePr w:type="band2Horz">
      <w:rPr>
        <w:rFonts w:ascii="Arial" w:hAnsi="Arial"/>
        <w:color w:val="76942d" w:themeColor="accent4" w:themeTint="9A" w:themeShade="95"/>
        <w:sz w:val="22"/>
      </w:rPr>
    </w:tblStylePr>
    <w:tblStylePr w:type="firstCol">
      <w:rPr>
        <w:rFonts w:ascii="Arial" w:hAnsi="Arial"/>
        <w:i/>
        <w:color w:val="76942d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76942d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76942d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942d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6942d" w:themeColor="accent4" w:themeTint="9A" w:themeShade="95"/>
        <w:sz w:val="22"/>
      </w:rPr>
    </w:tblStylePr>
  </w:style>
  <w:style w:type="table" w:styleId="15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a54606" w:themeColor="accent5" w:themeTint="9A" w:themeShade="95"/>
        <w:sz w:val="22"/>
      </w:rPr>
      <w:tcPr>
        <w:shd w:val="clear" w:color="ffffff" w:themeColor="accent5" w:themeTint="40" w:fill="fccba7" w:themeFill="accent5" w:themeFillTint="40"/>
      </w:tcPr>
    </w:tblStylePr>
    <w:tblStylePr w:type="band1Vert">
      <w:tcPr>
        <w:shd w:val="clear" w:color="ffffff" w:themeColor="accent5" w:themeTint="40" w:fill="fccba7" w:themeFill="accent5" w:themeFillTint="40"/>
      </w:tcPr>
    </w:tblStylePr>
    <w:tblStylePr w:type="band2Horz">
      <w:rPr>
        <w:rFonts w:ascii="Arial" w:hAnsi="Arial"/>
        <w:color w:val="a54606" w:themeColor="accent5" w:themeTint="9A" w:themeShade="95"/>
        <w:sz w:val="22"/>
      </w:rPr>
    </w:tblStylePr>
    <w:tblStylePr w:type="firstCol">
      <w:rPr>
        <w:rFonts w:ascii="Arial" w:hAnsi="Arial"/>
        <w:i/>
        <w:color w:val="a54606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a54606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a54606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54606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54606" w:themeColor="accent5" w:themeTint="9A" w:themeShade="95"/>
        <w:sz w:val="22"/>
      </w:rPr>
    </w:tblStylePr>
  </w:style>
  <w:style w:type="table" w:styleId="152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537f" w:themeColor="accent6" w:themeTint="98" w:themeShade="95"/>
        <w:sz w:val="22"/>
      </w:rPr>
      <w:tcPr>
        <w:shd w:val="clear" w:color="ffffff" w:themeColor="accent6" w:themeTint="40" w:fill="cdd4e6" w:themeFill="accent6" w:themeFillTint="40"/>
      </w:tcPr>
    </w:tblStylePr>
    <w:tblStylePr w:type="band1Vert">
      <w:tcPr>
        <w:shd w:val="clear" w:color="ffffff" w:themeColor="accent6" w:themeTint="40" w:fill="cdd4e6" w:themeFill="accent6" w:themeFillTint="40"/>
      </w:tcPr>
    </w:tblStylePr>
    <w:tblStylePr w:type="band2Horz">
      <w:rPr>
        <w:rFonts w:ascii="Arial" w:hAnsi="Arial"/>
        <w:color w:val="40537f" w:themeColor="accent6" w:themeTint="98" w:themeShade="95"/>
        <w:sz w:val="22"/>
      </w:rPr>
    </w:tblStylePr>
    <w:tblStylePr w:type="firstCol">
      <w:rPr>
        <w:rFonts w:ascii="Arial" w:hAnsi="Arial"/>
        <w:i/>
        <w:color w:val="40537f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0537f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0537f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0537f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0537f" w:themeColor="accent6" w:themeTint="98" w:themeShade="95"/>
        <w:sz w:val="22"/>
      </w:rPr>
    </w:tblStylePr>
  </w:style>
  <w:style w:type="table" w:styleId="153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bbe0e8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bbe0e8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</w:style>
  <w:style w:type="table" w:styleId="155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</w:style>
  <w:style w:type="table" w:styleId="156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</w:style>
  <w:style w:type="table" w:styleId="157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</w:style>
  <w:style w:type="table" w:styleId="158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</w:style>
  <w:style w:type="table" w:styleId="159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</w:style>
  <w:style w:type="table" w:styleId="160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bbe0e8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bbe0e8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3ea2b7" w:themeFill="accent1" w:themeFillTint="EA"/>
      </w:tcPr>
    </w:tblStylePr>
  </w:style>
  <w:style w:type="table" w:styleId="162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ef0c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ed36d" w:themeFill="accent2" w:themeFillTint="97"/>
      </w:tcPr>
    </w:tblStylePr>
  </w:style>
  <w:style w:type="table" w:styleId="163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4d1d2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c42d31" w:themeFill="accent3" w:themeFillTint="FE"/>
      </w:tcPr>
    </w:tblStylePr>
  </w:style>
  <w:style w:type="table" w:styleId="164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6f1d0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8d677" w:themeFill="accent4" w:themeFillTint="9A"/>
      </w:tcPr>
    </w:tblStylePr>
  </w:style>
  <w:style w:type="table" w:styleId="165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cd5b9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964305" w:themeFill="accent5"/>
      </w:tcPr>
    </w:tblStylePr>
  </w:style>
  <w:style w:type="table" w:styleId="166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7dce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75a8d" w:themeFill="accent6"/>
      </w:tcPr>
    </w:tblStylePr>
  </w:style>
  <w:style w:type="table" w:styleId="167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40"/>
    <w:uiPriority w:val="99"/>
    <w:rPr>
      <w:sz w:val="18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0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07">
    <w:name w:val="Heading 1"/>
    <w:basedOn w:val="706"/>
    <w:next w:val="706"/>
    <w:link w:val="713"/>
    <w:qFormat/>
    <w:pPr>
      <w:ind w:firstLine="284"/>
      <w:keepNext/>
      <w:tabs>
        <w:tab w:val="num" w:pos="432" w:leader="none"/>
      </w:tabs>
      <w:outlineLvl w:val="0"/>
    </w:pPr>
  </w:style>
  <w:style w:type="paragraph" w:styleId="708">
    <w:name w:val="Heading 2"/>
    <w:basedOn w:val="706"/>
    <w:next w:val="706"/>
    <w:link w:val="714"/>
    <w:semiHidden/>
    <w:unhideWhenUsed/>
    <w:qFormat/>
    <w:pPr>
      <w:jc w:val="center"/>
      <w:keepNext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utlineLvl w:val="1"/>
    </w:pPr>
    <w:rPr>
      <w:b/>
      <w:sz w:val="28"/>
      <w:szCs w:val="28"/>
    </w:rPr>
  </w:style>
  <w:style w:type="paragraph" w:styleId="709">
    <w:name w:val="Heading 4"/>
    <w:basedOn w:val="706"/>
    <w:next w:val="706"/>
    <w:link w:val="715"/>
    <w:unhideWhenUsed/>
    <w:qFormat/>
    <w:pPr>
      <w:keepNext/>
      <w:outlineLvl w:val="3"/>
    </w:pPr>
    <w:rPr>
      <w:b/>
      <w:bCs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Заголовок 1 Знак"/>
    <w:basedOn w:val="710"/>
    <w:link w:val="70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14" w:customStyle="1">
    <w:name w:val="Заголовок 2 Знак"/>
    <w:basedOn w:val="710"/>
    <w:link w:val="708"/>
    <w:semiHidden/>
    <w:rPr>
      <w:rFonts w:ascii="Times New Roman" w:hAnsi="Times New Roman" w:eastAsia="Times New Roman" w:cs="Times New Roman"/>
      <w:b/>
      <w:sz w:val="28"/>
      <w:szCs w:val="28"/>
      <w:lang w:eastAsia="ar-SA"/>
    </w:rPr>
  </w:style>
  <w:style w:type="character" w:styleId="715" w:customStyle="1">
    <w:name w:val="Заголовок 4 Знак"/>
    <w:basedOn w:val="710"/>
    <w:link w:val="70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716">
    <w:name w:val="Body Text 2"/>
    <w:basedOn w:val="706"/>
    <w:link w:val="717"/>
    <w:semiHidden/>
    <w:unhideWhenUsed/>
    <w:pPr>
      <w:jc w:val="both"/>
    </w:pPr>
    <w:rPr>
      <w:sz w:val="28"/>
    </w:rPr>
  </w:style>
  <w:style w:type="character" w:styleId="717" w:customStyle="1">
    <w:name w:val="Основной текст 2 Знак"/>
    <w:basedOn w:val="710"/>
    <w:link w:val="716"/>
    <w:semiHidden/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718">
    <w:name w:val="Body Text 3"/>
    <w:basedOn w:val="706"/>
    <w:link w:val="719"/>
    <w:unhideWhenUsed/>
    <w:rPr>
      <w:b/>
      <w:bCs/>
    </w:rPr>
  </w:style>
  <w:style w:type="character" w:styleId="719" w:customStyle="1">
    <w:name w:val="Основной текст 3 Знак"/>
    <w:basedOn w:val="710"/>
    <w:link w:val="71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720" w:customStyle="1">
    <w:name w:val="Основной текст 21"/>
    <w:basedOn w:val="706"/>
    <w:pPr>
      <w:spacing w:after="120" w:line="480" w:lineRule="auto"/>
    </w:pPr>
  </w:style>
  <w:style w:type="paragraph" w:styleId="721" w:customStyle="1">
    <w:name w:val="Основной текст с отступом 21"/>
    <w:basedOn w:val="706"/>
    <w:pPr>
      <w:ind w:left="283"/>
      <w:spacing w:after="120" w:line="480" w:lineRule="auto"/>
    </w:pPr>
  </w:style>
  <w:style w:type="paragraph" w:styleId="722">
    <w:name w:val="Balloon Text"/>
    <w:basedOn w:val="706"/>
    <w:link w:val="723"/>
    <w:uiPriority w:val="99"/>
    <w:semiHidden/>
    <w:unhideWhenUsed/>
    <w:rPr>
      <w:rFonts w:ascii="Tahoma" w:hAnsi="Tahoma" w:cs="Tahoma"/>
      <w:sz w:val="16"/>
      <w:szCs w:val="16"/>
    </w:rPr>
  </w:style>
  <w:style w:type="character" w:styleId="723" w:customStyle="1">
    <w:name w:val="Текст выноски Знак"/>
    <w:basedOn w:val="710"/>
    <w:link w:val="722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724" w:customStyle="1">
    <w:name w:val="Font Style32"/>
    <w:basedOn w:val="710"/>
    <w:rPr>
      <w:rFonts w:ascii="Times New Roman" w:hAnsi="Times New Roman" w:cs="Times New Roman"/>
      <w:b/>
      <w:bCs/>
      <w:sz w:val="26"/>
      <w:szCs w:val="26"/>
    </w:rPr>
  </w:style>
  <w:style w:type="paragraph" w:styleId="725" w:customStyle="1">
    <w:name w:val="Style1"/>
    <w:basedOn w:val="706"/>
    <w:pPr>
      <w:ind w:firstLine="706"/>
      <w:jc w:val="both"/>
      <w:spacing w:line="275" w:lineRule="exact"/>
      <w:widowControl w:val="off"/>
    </w:pPr>
    <w:rPr>
      <w:lang w:eastAsia="ru-RU"/>
    </w:rPr>
  </w:style>
  <w:style w:type="character" w:styleId="726" w:customStyle="1">
    <w:name w:val="Font Style11"/>
    <w:basedOn w:val="710"/>
    <w:uiPriority w:val="99"/>
    <w:rPr>
      <w:rFonts w:ascii="Times New Roman" w:hAnsi="Times New Roman" w:cs="Times New Roman"/>
      <w:sz w:val="22"/>
      <w:szCs w:val="22"/>
    </w:rPr>
  </w:style>
  <w:style w:type="paragraph" w:styleId="727" w:customStyle="1">
    <w:name w:val="Style3"/>
    <w:basedOn w:val="706"/>
    <w:uiPriority w:val="99"/>
    <w:pPr>
      <w:jc w:val="both"/>
      <w:widowControl w:val="off"/>
    </w:pPr>
    <w:rPr>
      <w:rFonts w:eastAsiaTheme="minorEastAsia"/>
      <w:lang w:eastAsia="ru-RU"/>
    </w:rPr>
  </w:style>
  <w:style w:type="paragraph" w:styleId="728" w:customStyle="1">
    <w:name w:val="Style4"/>
    <w:basedOn w:val="706"/>
    <w:uiPriority w:val="99"/>
    <w:pPr>
      <w:ind w:firstLine="744"/>
      <w:jc w:val="both"/>
      <w:spacing w:line="493" w:lineRule="exact"/>
      <w:widowControl w:val="off"/>
    </w:pPr>
    <w:rPr>
      <w:rFonts w:eastAsiaTheme="minorEastAsia"/>
      <w:lang w:eastAsia="ru-RU"/>
    </w:rPr>
  </w:style>
  <w:style w:type="paragraph" w:styleId="729" w:customStyle="1">
    <w:name w:val="Style5"/>
    <w:basedOn w:val="706"/>
    <w:uiPriority w:val="99"/>
    <w:pPr>
      <w:ind w:firstLine="696"/>
      <w:jc w:val="both"/>
      <w:spacing w:line="485" w:lineRule="exact"/>
      <w:widowControl w:val="off"/>
    </w:pPr>
    <w:rPr>
      <w:rFonts w:eastAsiaTheme="minorEastAsia"/>
      <w:lang w:eastAsia="ru-RU"/>
    </w:rPr>
  </w:style>
  <w:style w:type="paragraph" w:styleId="730" w:customStyle="1">
    <w:name w:val="Style28"/>
    <w:basedOn w:val="706"/>
    <w:uiPriority w:val="99"/>
    <w:pPr>
      <w:spacing w:line="491" w:lineRule="exact"/>
      <w:widowControl w:val="off"/>
    </w:pPr>
    <w:rPr>
      <w:rFonts w:eastAsiaTheme="minorEastAsia"/>
      <w:lang w:eastAsia="ru-RU"/>
    </w:rPr>
  </w:style>
  <w:style w:type="character" w:styleId="731" w:customStyle="1">
    <w:name w:val="Font Style33"/>
    <w:basedOn w:val="710"/>
    <w:uiPriority w:val="99"/>
    <w:rPr>
      <w:rFonts w:ascii="Times New Roman" w:hAnsi="Times New Roman" w:cs="Times New Roman"/>
      <w:sz w:val="26"/>
      <w:szCs w:val="26"/>
    </w:rPr>
  </w:style>
  <w:style w:type="character" w:styleId="732" w:customStyle="1">
    <w:name w:val="Font Style69"/>
    <w:basedOn w:val="71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733">
    <w:name w:val="List Paragraph"/>
    <w:basedOn w:val="706"/>
    <w:link w:val="743"/>
    <w:uiPriority w:val="34"/>
    <w:qFormat/>
    <w:pPr>
      <w:contextualSpacing/>
      <w:ind w:left="720"/>
    </w:pPr>
  </w:style>
  <w:style w:type="paragraph" w:styleId="734">
    <w:name w:val="Header"/>
    <w:basedOn w:val="706"/>
    <w:link w:val="7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5" w:customStyle="1">
    <w:name w:val="Верхний колонтитул Знак"/>
    <w:basedOn w:val="710"/>
    <w:link w:val="734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36">
    <w:name w:val="Footer"/>
    <w:basedOn w:val="706"/>
    <w:link w:val="73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Нижний колонтитул Знак"/>
    <w:basedOn w:val="710"/>
    <w:link w:val="736"/>
    <w:uiPriority w:val="99"/>
    <w:semiHidden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38">
    <w:name w:val="Hyperlink"/>
    <w:basedOn w:val="710"/>
    <w:uiPriority w:val="99"/>
    <w:rPr>
      <w:rFonts w:cs="Times New Roman"/>
      <w:color w:val="0000ff"/>
      <w:u w:val="single"/>
    </w:rPr>
  </w:style>
  <w:style w:type="paragraph" w:styleId="73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740">
    <w:name w:val="footnote text"/>
    <w:basedOn w:val="706"/>
    <w:link w:val="741"/>
    <w:uiPriority w:val="99"/>
    <w:qFormat/>
    <w:rPr>
      <w:sz w:val="20"/>
      <w:szCs w:val="20"/>
      <w:lang w:val="en-US" w:eastAsia="ru-RU"/>
    </w:rPr>
  </w:style>
  <w:style w:type="character" w:styleId="741" w:customStyle="1">
    <w:name w:val="Текст сноски Знак"/>
    <w:basedOn w:val="710"/>
    <w:link w:val="740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42">
    <w:name w:val="footnote reference"/>
    <w:uiPriority w:val="99"/>
    <w:rPr>
      <w:rFonts w:cs="Times New Roman"/>
      <w:vertAlign w:val="superscript"/>
    </w:rPr>
  </w:style>
  <w:style w:type="character" w:styleId="743" w:customStyle="1">
    <w:name w:val="Абзац списка Знак"/>
    <w:link w:val="733"/>
    <w:uiPriority w:val="34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44" w:customStyle="1">
    <w:name w:val="apple-style-span"/>
    <w:basedOn w:val="71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e.lanbook.com/book/50693" TargetMode="External"/><Relationship Id="rId12" Type="http://schemas.openxmlformats.org/officeDocument/2006/relationships/hyperlink" Target="https://e.lanbook.com/book/64348" TargetMode="External"/><Relationship Id="rId13" Type="http://schemas.openxmlformats.org/officeDocument/2006/relationships/hyperlink" Target="http://www.stellersgallery.com/Artists/AllArtists.asp" TargetMode="External"/><Relationship Id="rId14" Type="http://schemas.openxmlformats.org/officeDocument/2006/relationships/hyperlink" Target="http://louvre.historic.ru/virttour.shtml" TargetMode="External"/><Relationship Id="rId15" Type="http://schemas.openxmlformats.org/officeDocument/2006/relationships/hyperlink" Target="http://smallbay.ru/grafica.html" TargetMode="External"/><Relationship Id="rId16" Type="http://schemas.openxmlformats.org/officeDocument/2006/relationships/hyperlink" Target="http://www.artwall.ru/index.phtml?categoryID=101" TargetMode="External"/><Relationship Id="rId17" Type="http://schemas.openxmlformats.org/officeDocument/2006/relationships/hyperlink" Target="http://www.picturesrembrandt.org/" TargetMode="External"/><Relationship Id="rId18" Type="http://schemas.openxmlformats.org/officeDocument/2006/relationships/hyperlink" Target="http://www.shazina.com/Category.aspx?CategoryID=1" TargetMode="External"/><Relationship Id="rId19" Type="http://schemas.openxmlformats.org/officeDocument/2006/relationships/hyperlink" Target="http://artgorod.ru/news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22C58-A14F-479F-A54C-820C9942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81</cp:revision>
  <dcterms:created xsi:type="dcterms:W3CDTF">2016-02-24T08:16:00Z</dcterms:created>
  <dcterms:modified xsi:type="dcterms:W3CDTF">2023-06-09T07:38:41Z</dcterms:modified>
</cp:coreProperties>
</file>