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Тема урока </w:t>
      </w:r>
      <w:r>
        <w:t xml:space="preserve">«</w:t>
      </w:r>
      <w:hyperlink r:id="rId8" w:tooltip="https://dereksiz.org/?q=%D0%A4%D0%BE%D1%80%D0%BC%D0%B8%D1%80%D0%BE%D0%B2%D0%B0%D0%BD%D0%B8%D0%B5" w:history="1">
        <w:r>
          <w:rPr>
            <w:rFonts w:ascii="Times New Roman" w:hAnsi="Times New Roman" w:eastAsia="Times New Roman" w:cs="Times New Roman"/>
            <w:b/>
            <w:bCs/>
            <w:color w:val="auto"/>
            <w:sz w:val="24"/>
            <w:szCs w:val="24"/>
            <w:u w:val="single"/>
            <w:lang w:eastAsia="ru-RU"/>
          </w:rPr>
          <w:t xml:space="preserve">Формирование</w:t>
        </w:r>
      </w:hyperlink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 единого образовательного и культурного пространства в Европе и </w:t>
      </w:r>
      <w:hyperlink r:id="rId9" w:tooltip="https://dereksiz.org/opolznevie-yavleniya-shiroko-rasprostraneni-kak-v-otdelenih-ra.html" w:history="1">
        <w:r>
          <w:rPr>
            <w:rFonts w:ascii="Times New Roman" w:hAnsi="Times New Roman" w:eastAsia="Times New Roman" w:cs="Times New Roman"/>
            <w:b/>
            <w:bCs/>
            <w:color w:val="auto"/>
            <w:sz w:val="24"/>
            <w:szCs w:val="24"/>
            <w:u w:val="single"/>
            <w:lang w:eastAsia="ru-RU"/>
          </w:rPr>
          <w:t xml:space="preserve">отдельных регионах мира»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 Цели урока: </w:t>
      </w:r>
      <w:r>
        <w:rPr>
          <w:rFonts w:ascii="Times New Roman" w:hAnsi="Times New Roman" w:eastAsia="Arial" w:cs="Times New Roman"/>
          <w:color w:val="2c2d2e"/>
          <w:sz w:val="24"/>
          <w:szCs w:val="24"/>
          <w:highlight w:val="none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Times New Roman" w:hAnsi="Times New Roman" w:eastAsia="Arial" w:cs="Times New Roman"/>
          <w:color w:val="2c2d2e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1) образовательная: Ознакомление с  </w:t>
      </w:r>
      <w:r>
        <w:rPr>
          <w:rFonts w:ascii="Times New Roman" w:hAnsi="Times New Roman" w:eastAsia="Arial" w:cs="Times New Roman"/>
          <w:color w:val="2c2d2e"/>
          <w:sz w:val="24"/>
          <w:szCs w:val="24"/>
          <w:highlight w:val="none"/>
        </w:rPr>
        <w:t xml:space="preserve">ф</w:t>
      </w:r>
      <w:r>
        <w:rPr>
          <w:rFonts w:ascii="Times New Roman" w:hAnsi="Times New Roman" w:eastAsia="Arial" w:cs="Times New Roman"/>
          <w:color w:val="2c2d2e"/>
          <w:sz w:val="24"/>
          <w:szCs w:val="24"/>
          <w:highlight w:val="white"/>
        </w:rPr>
        <w:t xml:space="preserve">ормированием единого образовательного и культурного пространства в Европе и отдельных регионах мира и новыми международными образовательными проектами. Участие России в этих процессах.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Times New Roman" w:hAnsi="Times New Roman" w:eastAsia="Arial" w:cs="Times New Roman"/>
          <w:color w:val="2c2d2e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c2d2e"/>
          <w:sz w:val="24"/>
          <w:szCs w:val="24"/>
          <w:highlight w:val="none"/>
        </w:rPr>
        <w:t xml:space="preserve">2) воспитательная</w:t>
      </w:r>
      <w:r>
        <w:rPr>
          <w:rFonts w:ascii="Times New Roman" w:hAnsi="Times New Roman" w:eastAsia="Arial" w:cs="Times New Roman"/>
          <w:color w:val="2c2d2e"/>
          <w:sz w:val="24"/>
          <w:szCs w:val="24"/>
          <w:highlight w:val="none"/>
        </w:rPr>
        <w:t xml:space="preserve"> : Воспитание толерантности</w:t>
      </w:r>
      <w:r>
        <w:rPr>
          <w:rFonts w:ascii="Times New Roman" w:hAnsi="Times New Roman" w:eastAsia="Arial" w:cs="Times New Roman"/>
          <w:color w:val="2c2d2e"/>
          <w:sz w:val="24"/>
          <w:szCs w:val="24"/>
          <w:highlight w:val="none"/>
        </w:rPr>
        <w:t xml:space="preserve"> к разным подходам в образовании, повышению интереса к данному вопросу и к предмету</w:t>
      </w:r>
      <w:r>
        <w:rPr>
          <w:rFonts w:ascii="Times New Roman" w:hAnsi="Times New Roman" w:eastAsia="Arial" w:cs="Times New Roman"/>
          <w:color w:val="2c2d2e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spacing w:before="0" w:after="0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2c2d2e"/>
          <w:sz w:val="24"/>
          <w:szCs w:val="24"/>
          <w:highlight w:val="none"/>
        </w:rPr>
        <w:t xml:space="preserve">3) развивающая : Развитие  навыков работы с образовательными документами и учебными пособиями</w:t>
      </w:r>
      <w:r/>
    </w:p>
    <w:p>
      <w:pPr>
        <w:jc w:val="left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Arial" w:cs="Times New Roman"/>
          <w:color w:val="2c2d2e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single"/>
          <w:lang w:eastAsia="ru-RU"/>
        </w:rPr>
        <w:t xml:space="preserve">ОРГАНИЗАЦИОННЫЙ МОМЕНТ: сообщение темы и целей урока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single"/>
          <w:lang w:eastAsia="ru-RU"/>
        </w:rPr>
      </w:r>
      <w:r/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single"/>
          <w:lang w:eastAsia="ru-RU"/>
        </w:rPr>
        <w:t xml:space="preserve">ОСНОВНАЯ ЧАСТЬ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single"/>
          <w:lang w:eastAsia="ru-RU"/>
        </w:rPr>
      </w:r>
      <w:r/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План: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r>
      <w:r/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                                1. Современное мировое образовательное пространство.</w:t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2. Развитие единого образовательного пространства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br/>
        <w:t xml:space="preserve">стран СНГ.</w:t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   3. Участие России в Болонском процессе.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4. Современное образование в России.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1. Современное мировое образовательное пространство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lang w:eastAsia="ru-RU"/>
        </w:rPr>
        <w:t xml:space="preserve">Мировое образование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– это система учреждений и мероприятий, обеспечивающих организацию процесса познания с учетом присущих конкретной эпохе ведущих тенденций передачи опыта и развития личности.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Мировое образовательное пространство объединяет национальные образователь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ные системы разного типа и уровня, значительно различающиеся по философским и культурным традициям, уровню целей и задач, своему качественному состоя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нию.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мировой системе образования завершающегося XX века выделяют опреде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ленные глобальные тенденции: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 стремление к демократической системе образования, то есть доступность 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разования всему населению страны и преемственность его ступеней и уров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ней, предоставление автономности и самостоятельно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сти учебным заведениям;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–обеспечение права на образование всем желающим (возможность и равные шансы для каждого человека получить образование в учебном заведении любого типа, независимо от национальной и расовой принадлежности);      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значительное влияние социально-экономических фак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торов на получение образования (культурно-образовательная монополия от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дельных этнических меньшинств, платные формы обучения, проявление шо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винизма и расизма);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увеличение спектра учебно-организационных мероприятий, направленных как на удовлетворение разносторонних интересов, так и на развитие способ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ностей учащихся;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 разрастание рынка образовательных услуг;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расширение сети высшего образования и изменение социального состава сту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денчества (становится более демократическим);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 в сфере управления образованием поиск компромисса между жесткой центра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лизацией и полной автономией;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образование становится приоритетным объектом финансирования в развитых странах мира;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постоянное обновление и корректировка школьных и вузовских образователь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ных программ;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отход от ориентации на «среднего ученика», повышенный интерес к одарен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ным детям и молодым людям, к особенностям раскрытия и развития их спо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собностей в процессе и средствами образования;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поиск дополнительных ресурсов для образования детей с отклонениями в раз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витии, детей-инвалидов.</w:t>
      </w:r>
      <w:r>
        <w:rPr>
          <w:rFonts w:ascii="Times New Roman" w:hAnsi="Times New Roman" w:cs="Times New Roman"/>
          <w:color w:val="auto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lang w:eastAsia="ru-RU"/>
        </w:rPr>
        <w:t xml:space="preserve">Мировое образование полиструктурно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: для него характерны пространствен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ная (территориальная) и организационная структуры.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решении проблем мирового образования важное  значение приобретают круп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ные международные проекты и программы, поскольку они с необходимостью пред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полагают участие различных образовательных систем.</w:t>
      </w:r>
      <w:r>
        <w:rPr>
          <w:rFonts w:ascii="Times New Roman" w:hAnsi="Times New Roman" w:cs="Times New Roman"/>
          <w:color w:val="auto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lang w:eastAsia="ru-RU"/>
        </w:rPr>
        <w:t xml:space="preserve">К крупным международным проектам относятся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: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•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ЭРАЗМУС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цель которого заключается в том, чтобы обеспечить мобильность студентов Европейского Совета (например, в рамках программы до 10% сту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дентов должны пройти обучение в вузе другой европейской страны);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•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ЛИНГВА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– это программа повышения эффективности изучения иностран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ных языков, начиная с младших классов;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•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ЭВРИКА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задача, которого состоит в том, чтобы осуществлять координацию исследований со странами Восточной Европы;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•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ЭСПРИТ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– проект, предполагающий объединение усилий европейских университетов, НИИ, компьютерных фирм в создании новых информационных технологий;                                            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•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ЕИПДАС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– это программа в области совершенствования планирования и управления образованием в арабских странах;                 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•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ТЕМПУС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представляет собой общеевропейскую программу, ориентированную на развитие мобильности университетского образования;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•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ИРИС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– это система проектов, направленная на расширение возможностей профессионального образования женщин.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Появляются новые организационные структуры интернационального свойства: международные и открытые университеты.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lang w:eastAsia="ru-RU"/>
        </w:rPr>
        <w:t xml:space="preserve">В мире выделяют типы регионов по признаку взаимного сближения и взаимодействия образовательных систем (А.П. Лиферов).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lang w:eastAsia="ru-RU"/>
        </w:rPr>
        <w:t xml:space="preserve">Первый тип составляют регионы, которые выступают генераторами интеграционных процессов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. Самым ярким примером такого региона может служить Западная Европа. Идея единства стала стержнем всех образовательных реформ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1990-х годов в западноевропейских странах. Стремление к утверждению «европейской идентичности» и «гражданственности» подкреплено целым рядом европейских проектов в таких областях образования и культуры, как популяризация национальных литератур, расширение </w:t>
      </w:r>
      <w:hyperlink r:id="rId10" w:tooltip="https://dereksiz.org/akopyanc-arega-mihajlovna-pragmalingvodidakticheskie-osnovi-ob.html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  <w:u w:val="single"/>
            <w:lang w:eastAsia="ru-RU"/>
          </w:rPr>
          <w:t xml:space="preserve">обучения иностранным языкам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  увеличение сети библиотек, проект «Европейский город культуры».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 первому типу регионов можно также отнести США и Канаду, но их интеграционные усилия в сфере образования реализуются в иной ситуации.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мире формируется новый, Азиатско-тихоокеанский регион (АТР) – генератор инт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еграционных процессов. В него входят следующие страны: Республика Корея, Тайвань, Сингапур и Гонконг, а также Малайзия, Таиланд, Филиппины и Индонезия. Для всех этих стран характерна стратегия повышенных требований к качеству обучения и подготовке  кадров.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основе «азиатского экономического чуда» стран АТР лежит ряд факторов. Один из решающих факторов заключается в финансовом приоритете образования.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большинстве стран АТР сформировалась развитая система высшего  образования. Например, в Корейской Республике около 1/3 всех выпускников средней школы поступают в университеты.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Свыше 30 % тайваньских школьников также идут учиться в университеты (для сравнения: в Германии – 18%, Италии – 26%, Великобритании –7%). Ныне каждый третий иностранный студент в  мире – выходец из стран АТР. К завершению XX века образовательный потенциал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данного региона достаточно возрос. Япония имеет самую высокую долю ученых степеней среди стран мира – 68 %, для сравнения – 25 % в США. Республика Корея занимает первое место в мире в расчете на душу населения по числу лиц, получивших степени доктора наук.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Государственные расходы на образование в развитых странах составляют око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ло 950 млрд. долларов США в год, а на образование одного учащегося всех ступеней в среднем – 1620 долларов.</w:t>
      </w:r>
      <w:r>
        <w:rPr>
          <w:rFonts w:ascii="Times New Roman" w:hAnsi="Times New Roman" w:cs="Times New Roman"/>
          <w:color w:val="auto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lang w:eastAsia="ru-RU"/>
        </w:rPr>
        <w:t xml:space="preserve">Ко второму типу относятся регионы, позитивно реагирующие на интегра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lang w:eastAsia="ru-RU"/>
        </w:rPr>
        <w:t xml:space="preserve">ционные процессы. В первую очередь это страны Латинской Америки.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Как в процессе истории, так и в настоящее время Латинская Америка оказывается в зоне действия интеграционных импульсов со стороны США и Западной Европы.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Страны Латинской Америки рассматривают связи с Европой как средство осла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бления экономической и политической зависимости от США, а также как возмож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ность оградить от тотального североамериканского воздействия развивающийся процесс культурообразования, главными элементами которого остаются европей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ские культурные традиции и остаточные элементы автохтонных индейских куль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тур.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Латинская Америка реализует программу под названием «Основной проект ЮНЕСКО по образованию для стран Латинской Америки и Карибского бассей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на». В ее рамках к 2000 г., предполагается полностью ликвидировать неграмот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ность, всем детям школьного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возраста дать восьми – или десятилетнее образова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ние, стать конкурентоспособными на мировом рынке.</w:t>
      </w:r>
      <w:r>
        <w:rPr>
          <w:rFonts w:ascii="Times New Roman" w:hAnsi="Times New Roman" w:cs="Times New Roman"/>
          <w:color w:val="auto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lang w:eastAsia="ru-RU"/>
        </w:rPr>
        <w:t xml:space="preserve">К третьему типу относятся те регионы, которые инертны к интеграции образовательных процессов.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эту группу входят большая часть стран Африки к югу от Caxapы (к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роме ЮАР), ряд государств Южной и Юго-Восточной Азии, небольшие островные государства бассейнов Тихого и Атлантического океанов. Продолжительность школьного обучения в целом ряде африканских стран ниже минимального –  4 года. В данных регионах преобладает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неграмотное население. Например, около 140 млн. африканцев, проживающих южнее Сахары, остаются безграмотными. Самая низкая продолжительность школьного обучения в Нигерии – 2,l года затем в Буркина-Фасо – 2,4 года, в Гвинее – 2,7 года, в Джибути – 3,4 года.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концу XX века выделяются регионы, в которых по ряду экономических, политических, социальных причин нарушается последовательность образовательных и интеграционных процессов. К таким регионам относятся арабские страны, Восточная Европа и страны бывшего СССР.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арабских странах наблюдается стремление к выделению четырех субре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гионов, которые тяготеют к внутренней интеграции, включая и сферу образо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вания. Это регионы Магриба (включая Ливию), Ближнего Востока (Египет, Ирак, Сирия, Ливан, Иордания), Персидского залива (Саудовская Аравия, Кувейт, ОАЭ, Катар, Оман, Бахрейн), страны побережья К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расного моря и Мавритания. В этих странах наблюдается крайняя неравномерность в процессе развития средней и высшей ступени образования. В Египте, Судане, Мавритании, Алжире сосредоточено 2/3 неграмотного населения арабского мира. В арабских странах государ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ственные расходы на образование составляют примерно 25 млрд. долларов в год (по данным начала 1990-х гг.), а на образование одного учащегося – около 300 долларов.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странах Восточной Европы и бывшего СССР в связи с политической неста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бильностью, экономическим кризисом и общественной дезинтеграцией наблюда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ется спад в развитии образования.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Влияние США и других стран привело к поэтапному переходу высшей школы на многоуровневую систему образования и подготовки специалис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тов. Системы образования стран Восточной Европы и бывшего СССР осуществи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ли «перестройку», основывающуюся на стремлении к демократизации. В 1980-1990-е гг. в России сформировалось массовое инновационное движение в области школьного образования. Оно проявилось в поисках нового: моделей школы, со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держания образования, образовательных технологий.</w:t>
      </w:r>
      <w:r>
        <w:rPr>
          <w:rFonts w:ascii="Times New Roman" w:hAnsi="Times New Roman" w:cs="Times New Roman"/>
          <w:color w:val="auto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2. Развитие единого образовательного пространства 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br/>
        <w:t xml:space="preserve">стран СНГ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color w:val="auto"/>
        </w:rPr>
      </w:r>
      <w:r/>
    </w:p>
    <w:tbl>
      <w:tblPr>
        <w:tblW w:w="9735" w:type="dxa"/>
        <w:tblCellSpacing w:w="0" w:type="dxa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9735"/>
      </w:tblGrid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  <w:t xml:space="preserve">Интеграция в единое образовательное пространство – это не простая ассимиляция, тем более не поглощение сильным (в каких-то отношениях) сообществом слабого, а добровольное </w:t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  <w:t xml:space="preserve">взаимовыгодное движение к такой целостности, которая воплощает в себе лучшие характеристики интегрируемых субъектов.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i/>
                <w:iCs/>
                <w:color w:val="auto"/>
                <w:sz w:val="24"/>
                <w:szCs w:val="24"/>
                <w:lang w:eastAsia="ru-RU"/>
              </w:rPr>
              <w:t xml:space="preserve">Анализ современного состояния образовательных систем разных государств – участников СНГ позволил выявить ряд факторов, подтверждающих интеграцию: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менталитет народов бывшего СССР. Особенно это касается славянских народов – русских, белорусов и украинцев. Глубокие родственные связи. К примеру, на Украине каждый пятый житель – русский;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становление и развитие образования во всех бывших республиках Совет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ского Союза на протяжении нескольких десятков лет осуществлялось на единой методологической, организационно-структурной и методической основе. На этой же основе происходит становление теперь уже национальных систем образования во всех странах Содружества;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важным фактором интеграции является язык общения. Далеко не все граждане стран Содружества знают западные языки, но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практически все они в той или иной степени владеют русским языком. Эта тенденция имеет перспективу, о чем свидетельствует лишь один факт: в Республике Беларусь в 1997/1998 учебном г. 68% первоклассников избрали для учебы классы с русским языком обучения;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ход интеграционных процессов во многом предопределяется главным действующим лицом образования – педагогом. В силу этого на первый план выдвигаются вопросы его подготовки. Изучение данной проблемы (Российская </w:t>
            </w:r>
            <w:hyperlink r:id="rId11" w:tooltip="https://dereksiz.org/luchshaya-mejdunarodnaya-sportivnaya-federaciya--mejdunarodnay.html" w:history="1">
              <w:r>
                <w:rPr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single"/>
                  <w:lang w:eastAsia="ru-RU"/>
                </w:rPr>
                <w:t xml:space="preserve">Федерация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 Украина, Республика Беларусь, Республика Казахстан и др.) дает основание сделать вы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вод о том, что в реформировании педагогического образования, обновлении его концептуальных основ есть много общего: введена многоуровневая система подготовки педагогических кадров, осуществляется дифференциация в подготовке учителя для различных типов школ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 сделан акцент на личностный подход в обучении, увеличилась доля самостоятельной работы студентов по самообразованию и самовоспитанию, важное значение придается второй специальности будущих учителей, так как она расширяет их профессиональные возможности;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творческие связи, обмен практическим опытом.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Процесс формирования единого образовательного пространства может быть успешным, если: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все граждане Содружества, входящие в единое </w:t>
            </w:r>
            <w:hyperlink r:id="rId12" w:tooltip="https://dereksiz.org/mejdunarodnaya-deyatelenoste.html" w:history="1">
              <w:r>
                <w:rPr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single"/>
                  <w:lang w:eastAsia="ru-RU"/>
                </w:rPr>
                <w:t xml:space="preserve">образовательное пространство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 будут иметь возможность получить доступ в образовательные учреждения других государств на условиях, предоставленных гражданам этих государств (принцип единых возможностей);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финансовая поддержка реализации этой возможности будет, в первую очередь, осуществляться государственными органами на основе достигнутых договоренностей;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все учащиеся, студенты образовательных учреждений будут иметь право перехода для продолжения обучения в любое подобное учреждение на территории единого образовательного пространства по единым правилам;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все государства единого образовательного пространства будут содействовать гражданам других государств в освоении языка обучения;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все уровни и ступени образования, установленные в каждом из государств (суб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ъектов) единого образовательного пространства, на основе взаимных соглашений, будут описаны и приравнены в единой классификационной таблице. На базе этой таблицы будет произведено официальное взаимное признание учебных планов, курсов, дипломов и степеней;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государствами единого образовательного пространства будут согласованы и реализованы принципы обмена информацией;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образование ведется на основе единых согласованных образовательных стандартов, по единой методологии осуществляются аккредитация образовательных учреждений и аттестация обучающихся;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• одним из подходов, способствующих реализации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главных задач в этой области, будет содействие удовлетворению образовательных потребностей населения Содружества, в том числе лиц, принадлежащих к национальным меньшинствам и самобытным этническим группам, а также не являющихся гражданами этих государств.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Формирование единого образовательного пространства имеет особое значение и для защиты образовательных интересов граждан, проживающих за пределами своих государств.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Интеграция в образовании характеризуется рядом важных специфических черт: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во-первых, характером своего воздействия на интеграционные процессы в различных сферах;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во-вторых, опережающим характером развития интеграции в образовании по отношению к ходу этих процессов;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 </w:t>
            </w:r>
            <w:hyperlink r:id="rId13" w:tooltip="https://dereksiz.org/laureati-treteih-molodejnih-delefijskih-igr-lipeckoj-oblasti-s.html" w:history="1">
              <w:r>
                <w:rPr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single"/>
                  <w:lang w:eastAsia="ru-RU"/>
                </w:rPr>
                <w:t xml:space="preserve">в-третьих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, способствованием целостному развитию непрерывного образования в рамках Содружества.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Единому образовательному пространству как сложному, многоуровневому процессу взаимосвязанных преобразований, в результате которого возникает новое качественное состояние системы, свойственны следующие основные системные принципы: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принцип целостности – как определенная полнота, внутреннее единство рассматриваемого явления, выражающееся в его системности, структурности, уст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ойчивости, самостоятельности целого, в его способе существования, в его специфическом качестве. Принцип целостности сложной организации педагогических явлений лежит в основе технологии системного подхода к их исследованию, моделированию и прогнозированию;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прин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цип взаимосвязи системы и окружающей среды. Для образовательного пространства взаимодействие, при котором формируются его свойства, отличается различными экономическими, социальными и культурными связями, общественно-политическими и правовыми институтами;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структурность как системный принцип, предоставляющий возможность описать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рассматриваемую систему через выявление основных ее элементов, особенностей их взаимодействия и внутренних связей;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множественность описания единого образовательного пространства дает возможность представления его как сложной многоуровневой системы, включающей экономический, политический, идеол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огический, социально-культурный, правовой, информационный, собственно педагогический (содержательный), научно-методический уровни и, наконец, важнейший личностный уровень – единый образовательный стандарт, гарантирующий равные образовательные возможности.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Основными принципами формирования единого образовательного пространства являются: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сближение национальных систем образования государств – участников СНГ, интегрируемых в единое образовательное пространство;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согласованность государственных образовательных стандартов;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поддержка инициатив субъектов образования всех уровней (федерального, республиканского, регионального, муниципального) по организации сотрудничества в области образования;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кооперация и сотрудничество в исследовательской, управленческой и учебно-воспитательной деятельности, выполнении совместных образовательных проектов;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открытость информации о состоянии и деятельности образовательных систем Содружества.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Основными направлениями формирования единого образовательного пространства являются: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научное обоснование и разработка предложений о создании законодательно-нормативной и информационно-источниковой базы, регулирующей вопросы интеграционных </w:t>
            </w:r>
            <w:hyperlink r:id="rId14" w:tooltip="https://dereksiz.org/smislovoe-otchujdenie-v-sfere-obrazovaniya-perspektivi-issledo.html" w:history="1">
              <w:r>
                <w:rPr>
                  <w:rFonts w:ascii="Times New Roman" w:hAnsi="Times New Roman" w:eastAsia="Times New Roman" w:cs="Times New Roman"/>
                  <w:color w:val="auto"/>
                  <w:sz w:val="24"/>
                  <w:szCs w:val="24"/>
                  <w:u w:val="single"/>
                  <w:lang w:eastAsia="ru-RU"/>
                </w:rPr>
                <w:t xml:space="preserve">процессов в сфере образования</w:t>
              </w:r>
            </w:hyperlink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постоянное отслеживание и выявление тенденций развития образования;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научно-педагогическое и организационно-методическое обеспечение коррекции образовательных стандартов;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научно-организационное обеспечение взаимного признания и эквивалентности документов, выданных выпускникам образовательных учреждений разного уровня;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расширение информационного обмена по вопросам образования путем создания научных советов, служб маркетинга по выявлению образовательных потребностей населения сотрудничающих государств Содружества;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разработка согласованных критериев мониторинга состояния и качества образования в государствах – участниках СНГ, механизмов его совместного проведения;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– научно-организационная, научно-методическая и информационная поддержка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существующих и вновь открываемых русскоязычных образовательных учреждений, в которых преподавание ведется на языках народов СНГ.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Исходя из основных целей, принципов и направлений формирования единого о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бразовательного пространства и учитывая различные уровни состояния экономики, науки и образования, можно выделить следующие этапы формирования единого образовательного пространства стран СНГ (имеется в виду, что это неравномерный и многоуровневый процесс):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1-й этап (1998 г.) – разработка концепции непрерывного образования в едином образовательном пространстве государств – участников СНГ;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2-й этап (1998–1999 г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г.) – анализ уже согласованных законодательных актов в области образования государств Содружества в целях формирования единого образовательного пространства. На этом этапе предполагается разработка научно-методических и организационных аспектов межгосударс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твенной и национальных программ сотрудничества на основе принятых типовых модельных законодательных актов, регулирующих отношения в сфере образования, научное обоснование социально-педагогических условий формирования единого образовательного пространства;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3-й этап (1999-2001 гг.) – создание системы социально-педагогических и научно-организационных механизмов межгосударственного сотрудничества в сфере образования (в общей системе социально-экономических мех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анизмов) на основе уже согласованных принципов обмена информацией по вопросам образования. При участии межгосударственного фонда поддержки интеграционных процессов в сфере образования предполагается разработка согласованных критериев качества образования; 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  <w:tr>
        <w:trPr>
          <w:tblCellSpacing w:w="0" w:type="dxa"/>
        </w:trPr>
        <w:tc>
          <w:tcPr>
            <w:shd w:val="clear" w:color="auto" w:fill="ffffff"/>
            <w:tcW w:w="970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4-й этап (2001-2005 гг.) – углубление интеграции в сфере образования стран Содружества, обеспечивающей развитие единого образовательного пространства.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Таким образом, для всего образовательного пространства стран Содружества еще недавно была единая система образования, регулируема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я едиными нормативными актами. Это обусловливало органическую целостность того самого образовательного пространства, которое определяло функционирование системы как целостности. Разделившись в процессе государственных преобразований на ряд самостоятельных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образовательных систем, образование тем не менее в любой из стран Содружества развивается, имея сходные стартовые позиции и в русле неотвратимых единых прогрессивных процессов развития, отвечающих общемировым тенденциям глобализации и всемирной интеграции.</w:t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3. Участие России в Болонском процессе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lang w:eastAsia="ru-RU"/>
        </w:rPr>
        <w:t xml:space="preserve">Болонский процесс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– движение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целью которого является создание единого образовательного пространства. Российская Федерация присоединилась к Болонскому процессу в сентябре 2003 г. на Берлинской конференции, обязавшись до 2010 г. воплотить в жизнь основные принципы Болонского процесса.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настоящее время Болонский процесс объединяет 47 стран. Предполагается, что основные его цели должны быть достигнуты к 2010 г.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Страны присоединяются к Болонскому процессу на добровольной основе через подписание соответствующей декларации. При этом они принимают на себя определённые обязательства, некоторые из которых ограничены сроками.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Формирование общеевропейской системы высшего образования в рамках Болонского процесса основано на общности фундаментальных принципов функционирования высшего образования.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Подписание Российской Федерацией документов Болонского процесса автоматически возлагало на страну обязательства воплотит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ь в жизнь его принципы до 2010 г. В связи с этим меняется общественное отношение к Болонскому процессу в России, а обсуждение проблемы «Россия и Болонский процесс» приобретает новую окраску. На Втором Международном семинаре «Россия и европейское пространст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во высшего образования: планы и перспективы после Берлинской конференции», организованный Министерством образования РФ, Комитетом по образованию и науке Государственной Думы РФ, Советом Европы и Санкт-Петербургским государственным университетом, прошел 29-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30 октября 2003 г. в стенах Санкт-Петербургского государственного университета, в котором приняли участие представители Совета Европы и ЮНЕСКО, министерств и ведомств РФ, ректоры ведущих высших учебных заведений России, представители систем образования из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ближнего зарубежья, основное внимание было обращено на промежуточные итоги интеграции российской высшей школы в общеевропейское образовательное пространство, динамику развития в этом направлении и обозначены перспективы участия России в Болонском процессе.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Именно на этом семинаре министр образования РФ В.М. Филиппов обозначил основные цели и задачи, стоящие перед системой высшего образования России в рамках работы в Болонском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процессе. Министр подчеркнул, что вхождение России в единое образовательное пространство является не только очередным шагом в процессе общеевропейской интеграции, но также отвечает внутренней потребности российского рынка образовательных услуг. В связи с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подписанием Болонской декларации России предстоит решить ряд важных задач, которые потребуют значительных изменений и модернизации российского образования. Первой из таких задач является создание многоуровневой системы высшего образования: «бакалавриат –ма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гистратура «. Внедрение двухступенчатой подготовки специалистов в российской высшей школе началось как эксперимент в 1992 г., и по сравнению с некоторыми другими «странами Болонского процесса» Россия находится значительно ближе к ее полноценной реализации.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Став участницей Болонского процесса, Россия и российская высшая школа неизбежно должны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были интегрироваться в общеевропейскую систему высшего образования, и речь здесь должна идти не о встраивании или подстраивании под европейские системы образования, а о гармонизации систем и модернизации высшей школы России. Это привело к необходимости со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здания нового поколения образовательных стандартов уровневого образования (бакалавриат - магистратура). Бакалавриат, магистратура и специалитет «вырастают» в российской высшей школе из традиционных (моноуровневых, интегрированных) образовательных программ.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Государственный образовательный стандарт как документ, регламентирующий формирование основных образовательных программ, был введен Законом Российской Федерации «Об образовании» в 1992 г.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Образовательные стандарты – совокупность требований, обязательных при реализации основных образовательных программ начального общего, основного общего, среднего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(полного) общего, начального профессиональног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о, среднего профессионального и высшего профессионального образования образовательными учреждениями, имеющими государственную аккредитацию. К образовательным стандартам, принятым до 2009 г., применялось название «Государственные образовательные стандарты».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соответствии с указанным законом в период с 1994 по 1996 гг. было разработано и введено в действие первое поколение государственных образовательных стандартов высшего профессионального образования.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соответствии с действующим Перечнем в системе ВПО в настоящий период действуют 240 стандартов подготовки бакалавров и магистров.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Федеральные государственные образовательные стандарты были призваны стать стандартами нового поколения, обеспечивающими дальнейшее развитие уровневого высшего профессионального образования с учетом требований рынка труда.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этих стандартах используются термины и определения в соответствии с Законом РФ «Об образовании», Федеральным Законом «О высшем и послевузовском профессиональном образовании», а также с международными документами в сфере высшего образования: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основная 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разовательная программа – совокупность учебно-методической документации, регламентирующей цели, ожидаемые результаты, содержание и реализацию образовательного процесса по данному направлению подготовки (специальности) высшего профессионального образования;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направление подготовки – совокупность образовательных программ для бакалавров, магистров, специалистов различных профилей, интегрируемых на основании общности фундаментальной подготовки;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профиль – совокупность основных типичных черт какой-либо профессии (направления подготовки, специальности) высшего образования, определяющих конкретную направленность образовательной программы, ее содержании;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компетенция – способность применять знания, умения и личностные качества для успешной деятельности в определенной области.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модуль – часть образовательной программы или часть учебной дисциплины, имеющая определенную логическую завершенность по отношению к установленным целям и результатам обучения, воспитания;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зачетная единица – мера трудоемкости образовательной программы;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результаты обучения – усвоенные знания, умения и освоенные компетенции.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Присоединение России к Болонской декларации затронуло многие стороны функционирования высшей школы.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Потребуется соответствующим образом оптимизировать структуру высшего профессионального образования, заново осмыслить место и роль различных структурных подразделений вуза в организации учебного процесса, обновить методическое и информационное обеспечение.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Болонская декларация, с </w:t>
      </w:r>
      <w:hyperlink r:id="rId15" w:tooltip="https://dereksiz.org/shkola-kuleturnoj-politiki-istoriya-i-vremya.html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  <w:u w:val="single"/>
            <w:lang w:eastAsia="ru-RU"/>
          </w:rPr>
          <w:t xml:space="preserve">одной стороны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подводит черту под усилиями предпринимаемыми на протяжении 50-ти лет и направленными на консолидацию европейской сферы образования, а с другой стороны служит началом энергичных действий, называемых «Болонским п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роцессом», по строительству единого европейского образовательного пространства. Главной (общей) задачей Болонского процесса является создание в Европе «самой конкурентоспособной и динамичной экономики в мире, основанной на знаниях и способной обеспечить ус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тойчивый экономический рост, большое количество и лучшее качество рабочих мест, и большую социальную сплоченность». Решение такой задачи не может быть достигнуто без улучшения качества образования, повышения мобильности и конкурентоспособности выпускников.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Большая часть мероприятий в рамках Болонского процесса происходит при поддержке со стороны ЮНЕСКО, Евросоюза и Еврокомиссии с широким вовлечением университетской общественности и конструктивным участием студенческих организаций.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После подписания в 1999 г. Болонской декларации появились новые важные международные документы, среди которых: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отчет Межправительственной группы по Болонскому процессу к встрече министров образования в 2000 г. в Праге и последовавшее за ним в 2001 г. Коммюнике «К созданию европейского пространства высшего образования»;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совместный документ конференции европейских университетов и образовательных организаций «Формирование будущего», принятый в 2001 г. в Саламанке;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отчет Межправительственной группы «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Болонский процесс между Прагой и Берлином» и на его основе Коммюнике Конференции европейских министров образования «Создание общеевропейского пространства высшего образования», подписанное в сентябре 2003 г., на котором следует остановиться более подробно.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Под Болонской декларацие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й стоят подписи министров образования сорока европейских стран, в том числе и России, которая присоединилась к Болонскому процессу в сентябре 2003 г. Однако, подготовка к участию России в Болонском процессе началась значительно раньше. Так, в 2002 и 2003 г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г. в Санкт-Петербурге на базе Санкт-Петербургского государственного университета прошли Международные семинары «Интеграция российской высшей школы в общеевропейскую систему высшего образования: проблемы и перспективы»; в этот же период на базе Российского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университета дружбы народов состоялись два Всероссийских совещания «Проблемы введения системы зачетных единиц в высшем профессиональном образовании». В 2003 г. в Санкт-Петербурге состоялось совещание рабочей группы по изучению аспектов Болонского процесса.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результате был разработан План мероприятий по включению российской системы высшего профессионального образования в Болонский процесс на 2002-2010 гг.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К настоящему времени в больши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нстве этих стран функционируют многоуровневые системы подготовки, завершается введение системы сопоставимых кредитов и фактически решена проблема взаимного признания квалификаций. Болонский процесс не означает начало нового этапа коренных реформ высшего 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разования в странах Западной Европы, а лишь дальнейшее продолжение стыковки уже существующих систем высшего образования в соответствии с общеполитическими и экономическими условиями формирования единой Европы. Это подтверждается, в частности, характером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масштабами преобразований, осуществляемых в высшей школе трех крупнейших стран Европы, Великобритании, Франции и Германии.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Созданная к настоящему времени в Российской Федерации многоуровневая структура высшего профессионального образ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ования по многим параметрам достаточно органично соответствует положениям Болонской декларации. И поэтому можно исходить из того, что существующие у нас ступени высшего образования (1-я ступень – бакалавр, 2-я ступень – специалист и магистр) могут быть при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няты за основу рекомендуемой Болонской декларацией структуры квалификаций. При этом первая из них нуждается в усилении практической направленности и практической востребованности. Но вопрос этот скорее технологический, хотя и требует детального обсуждения.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После присоединения России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к Болонскому процессу все положения Декларации приняли для нас характер международных обязательств, подлежащих исполнению. В такой ситуации наиболее целесообразной представляется прагматичная позиция, аналогичная занимаемой ведущими европейскими странами: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не торопиться с резкими и недостаточно обоснованными изменениями;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внимательно отслеживать характер и масштабы преобразований, осуществляемых другими странами;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– во всех случаях руководствоваться исключительно интересами развития национальной системы образования.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Таким образом, дальнейшее совершенствование российского образования связанно с интеграцией российской высшей школы в единое европейское образовательное пространство.</w:t>
      </w:r>
      <w:r>
        <w:rPr>
          <w:rFonts w:ascii="Times New Roman" w:hAnsi="Times New Roman" w:cs="Times New Roman"/>
          <w:color w:val="auto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4. Современное образование в России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  <w:t xml:space="preserve">В современной России идёт процесс модернизации всех сфер жизни общества. Происходящие изменения выдвигают высокие требования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ко всем ступеням профессионального образования, к качеству подготовки специалистов. Сегодня именно профессиональное образование является главным стратегическим фактором социально-экономического, интеллектуального и духовного развития российского общества.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Важнейшим направлением политики России является создание оптимальных условий для улучшения качества профессионального образования, отвечающего современным требования рынка труда.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Обеспечение качества образования возможно только при наличии прочной нормативно-правовой базы, Отношения в сфере образования в России регулируются Конституцией Российской Федерации (1993 г.), Федеральным законом «Об образовании» (от 29 декабр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я 2012 г. N 273),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Федеральный закон «Об образовании Российской Федерации» регулирует общественные отношения, возникающие в сфере образования в связи с реализацией права на образование, обеспечением государственных гарантий прав и свобод человека в сфере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образования и созданием условий для реализации права на образование (далее – отношения в сфере образования) (ст. 1).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Федеральный </w:t>
      </w:r>
      <w:hyperlink r:id="rId16" w:tooltip="https://dereksiz.org/zakon-o-bezopasnosti.html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  <w:u w:val="single"/>
            <w:lang w:eastAsia="ru-RU"/>
          </w:rPr>
          <w:t xml:space="preserve">закон устанавливает правовые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организационные и экономические основы образования в Российской Федераци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образовательной деятельности, определяет правовое положение участников отношений в сфере образования.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Современная государственная политика в сфере образования строится на следующих основных принципах (ст.3.):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1) признание приоритетности образования;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2) обеспечение права каждого человека на образование, недопустимость дискриминации в сфере образования;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3) гуманистический характер образования, приоритет жизни и здоровь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4) 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государства;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5)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6) светский характер образования в государственных, муниципальных организациях, осуществляющих образовательную деятельность;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 </w:t>
      </w:r>
      <w:hyperlink r:id="rId17" w:tooltip="https://dereksiz.org/programma-psadaleituoju-registraceja.html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  <w:u w:val="single"/>
            <w:lang w:eastAsia="ru-RU"/>
          </w:rPr>
          <w:t xml:space="preserve">интересам человека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10) демократический характер управления образованием, обеспечение прав педагогических работников, обучающихся, родителей (законных представителей) несовершеннолетних обучающихся на участие в управлении образовательными организациями;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11) недопустимость ограничения или устранения конкуренции в сфере образования;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12) сочетание государственного и договорного регулирования отношений в сфере образования.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информационно-телекоммуникационной сети «Интернет» (далее - сеть «Интернет»).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Российской Федерации гарантируется право каждого человека на образ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ование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 (ст.5) 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России гарантируются общедоступность и бесплатность в соответствии с федеральными государственными образовательным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 стандартами 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1) создаются необходимые условия для получения без дискриминации качественного образования лицами с ог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определенной сфере учебной и научно-исследовательской деятельности, в научно-техническом и </w:t>
      </w:r>
      <w:hyperlink r:id="rId18" w:tooltip="https://dereksiz.org/fenomen-refleksii-v-hudojestvennom-tvorchestve.html" w:history="1">
        <w:r>
          <w:rPr>
            <w:rFonts w:ascii="Times New Roman" w:hAnsi="Times New Roman" w:eastAsia="Times New Roman" w:cs="Times New Roman"/>
            <w:color w:val="auto"/>
            <w:sz w:val="24"/>
            <w:szCs w:val="24"/>
            <w:u w:val="single"/>
            <w:lang w:eastAsia="ru-RU"/>
          </w:rPr>
          <w:t xml:space="preserve">художественном творчестве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, в физической культуре и спорте;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3) осуществляется полностью или частично финансовое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Общее и профессиональное образование реализуются по уровням образования.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Устанавливаются следующие уровни общего образования: 1) дошкольное образование; 2) начальное общее образование; 3) основное общее образование; 4) среднее общее обра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зование. Профессиональное образование включает следующие уровни: 1) среднее профессиональное образование; 2) высшее образование – бакалавриат; 3) высшее образование - специалитет, магистратура; 4) высшее образование – подготовка кадров высшей квалификации.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Законом определено, что право на занят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 Номенклатура должностей педагогич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еских работников организаций, осуществляющих образовательную деятельность, должностей руководителей образовательных организаций утверждается Правительством РФ. Определен правовой статус педагогических работников, их права и свободы, гарантии их реализации.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Пре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дусмотрены обязанности и ответственность педагогических работников, общий порядок аттестации педагогических работников. В организациях, осуществляющих образовательную деятельность по реализации образовательных программ высшего образования и дополнительных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профессиональных программ, предусматриваются должности педагогических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 образовательных организациях наряд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у с должностями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 Таким образом, принятие закона создаст правовые условия, обеспечивающие превращение образования в движущую силу и ресурс социально-экономического развития, в важный механизм формирования инновационного потенциала общест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ва и экономики, повышения конкурентоспособности страны при одновременном сохранении юридических гарантий свободы и равного доступа к образованию, наиболее полного удовлетворения образовательных потребностей личности, повышения социального статуса педагога.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 xml:space="preserve">ЗАКРЕПЛЕНИЕ  В ВИДЕ САМОСТОЯТЕЛЬНОЙ РАБОТЫ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504825" cy="590550"/>
                <wp:effectExtent l="0" t="0" r="9525" b="0"/>
                <wp:wrapSquare wrapText="bothSides"/>
                <wp:docPr id="1" name="Рисунок 1" descr="https://dereksiz.org/uchebnoe-posobie-dlya-studentov-2-kursa-ochnoj-formi-obucheniy/136551_html_m2f84982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dereksiz.org/uchebnoe-posobie-dlya-studentov-2-kursa-ochnoj-formi-obucheniy/136551_html_m2f84982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504825" cy="590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so-position-horizontal:left;mso-position-vertical-relative:line;margin-top:0.0pt;mso-position-vertical:absolute;width:39.8pt;height:46.5pt;mso-wrap-distance-left:9.0pt;mso-wrap-distance-top:0.0pt;mso-wrap-distance-right:9.0pt;mso-wrap-distance-bottom:0.0pt;" stroked="f">
                <v:path textboxrect="0,0,0,0"/>
                <w10:wrap type="square"/>
                <v:imagedata r:id="rId1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4"/>
          <w:szCs w:val="24"/>
          <w:lang w:eastAsia="ru-RU"/>
        </w:rPr>
        <w:t xml:space="preserve">Самостоятельная работа</w:t>
      </w:r>
      <w:r>
        <w:rPr>
          <w:rFonts w:ascii="Times New Roman" w:hAnsi="Times New Roman" w:eastAsia="Times New Roman" w:cs="Times New Roman"/>
          <w:i/>
          <w:iCs/>
          <w:color w:val="auto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4"/>
          <w:szCs w:val="24"/>
          <w:lang w:eastAsia="ru-RU"/>
        </w:rPr>
        <w:t xml:space="preserve">Задание 1.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b/>
          <w:bCs/>
          <w:i/>
          <w:iCs/>
          <w:color w:val="auto"/>
          <w:sz w:val="24"/>
          <w:szCs w:val="24"/>
          <w:lang w:eastAsia="ru-RU"/>
        </w:rPr>
        <w:t xml:space="preserve">Ответьте на вопросы: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1. Дайте определение понятия «Единое образовательное и культурное пространство.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2. Какое участие принимает Российская Федерация в формировании единого образовательного и культурного пространства в Европе и отдельных регионах мира?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3. Опишите процесс формирования единого образовательного и культурного пространства на территории Российской Федерации.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4. Поясните, почему сегодня именно профессиональное образование является главным стратегическим фактором социально-экономического, интеллектуального и духовного развития российского общества.</w:t>
      </w:r>
      <w:r>
        <w:rPr>
          <w:rFonts w:ascii="Times New Roman" w:hAnsi="Times New Roman" w:cs="Times New Roman"/>
          <w:color w:val="auto"/>
        </w:rPr>
      </w:r>
      <w:r/>
    </w:p>
    <w:p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5. Какими нормативно-правовыми актами регулируется образовательная деятельность в России?</w:t>
      </w:r>
      <w:r>
        <w:rPr>
          <w:rFonts w:ascii="Times New Roman" w:hAnsi="Times New Roman" w:cs="Times New Roman"/>
          <w:color w:val="auto"/>
        </w:rPr>
      </w:r>
      <w:r/>
    </w:p>
    <w:p>
      <w:pP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Домашнее задание: Сообщение по теме: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 xml:space="preserve">Проблема экспансии в Россию западной системы ценностей и формирование «массовой культуры»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ereksiz.org/?q=%D0%A4%D0%BE%D1%80%D0%BC%D0%B8%D1%80%D0%BE%D0%B2%D0%B0%D0%BD%D0%B8%D0%B5" TargetMode="External"/><Relationship Id="rId9" Type="http://schemas.openxmlformats.org/officeDocument/2006/relationships/hyperlink" Target="https://dereksiz.org/opolznevie-yavleniya-shiroko-rasprostraneni-kak-v-otdelenih-ra.html" TargetMode="External"/><Relationship Id="rId10" Type="http://schemas.openxmlformats.org/officeDocument/2006/relationships/hyperlink" Target="https://dereksiz.org/akopyanc-arega-mihajlovna-pragmalingvodidakticheskie-osnovi-ob.html" TargetMode="External"/><Relationship Id="rId11" Type="http://schemas.openxmlformats.org/officeDocument/2006/relationships/hyperlink" Target="https://dereksiz.org/luchshaya-mejdunarodnaya-sportivnaya-federaciya--mejdunarodnay.html" TargetMode="External"/><Relationship Id="rId12" Type="http://schemas.openxmlformats.org/officeDocument/2006/relationships/hyperlink" Target="https://dereksiz.org/mejdunarodnaya-deyatelenoste.html" TargetMode="External"/><Relationship Id="rId13" Type="http://schemas.openxmlformats.org/officeDocument/2006/relationships/hyperlink" Target="https://dereksiz.org/laureati-treteih-molodejnih-delefijskih-igr-lipeckoj-oblasti-s.html" TargetMode="External"/><Relationship Id="rId14" Type="http://schemas.openxmlformats.org/officeDocument/2006/relationships/hyperlink" Target="https://dereksiz.org/smislovoe-otchujdenie-v-sfere-obrazovaniya-perspektivi-issledo.html" TargetMode="External"/><Relationship Id="rId15" Type="http://schemas.openxmlformats.org/officeDocument/2006/relationships/hyperlink" Target="https://dereksiz.org/shkola-kuleturnoj-politiki-istoriya-i-vremya.html" TargetMode="External"/><Relationship Id="rId16" Type="http://schemas.openxmlformats.org/officeDocument/2006/relationships/hyperlink" Target="https://dereksiz.org/zakon-o-bezopasnosti.html" TargetMode="External"/><Relationship Id="rId17" Type="http://schemas.openxmlformats.org/officeDocument/2006/relationships/hyperlink" Target="https://dereksiz.org/programma-psadaleituoju-registraceja.html" TargetMode="External"/><Relationship Id="rId18" Type="http://schemas.openxmlformats.org/officeDocument/2006/relationships/hyperlink" Target="https://dereksiz.org/fenomen-refleksii-v-hudojestvennom-tvorchestve.html" TargetMode="External"/><Relationship Id="rId1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4</cp:revision>
  <dcterms:created xsi:type="dcterms:W3CDTF">2019-11-11T15:33:00Z</dcterms:created>
  <dcterms:modified xsi:type="dcterms:W3CDTF">2023-12-05T06:28:46Z</dcterms:modified>
</cp:coreProperties>
</file>