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Тема:  Анализ расчета показателей использования оборотных фондов и средств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Продолжительность занятия 2 часа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Цель работы: Уметь рассчитывать норматив оборотных средств, коэффициенты оборачиваемости, фондоемкости и продолжительность одного оборота.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Ход работы: Решить предложенные задачи и проанализировать полученные результаты, используя предложенные формулы.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Оборачиваемость оборотных средств характеризует степень их использования. Ускорение оборачиваемости оборотных средств позволяет произвести и реализовать больше продукции при прежней сумме боратных средств или выполняет ту же программу при меньшей сумме обор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отных средств оборачиваемость оборотных средств характеризуется скоростью движения оборотных средств в процессе производства, т. е. времени, в течение которого оборотные средства совершают полный кругооборот.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Коэффициент оборачиваемости, Ко, определяется по формуле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09"/>
        <w:jc w:val="center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position w:val="-24"/>
          <w:highlight w:val="none"/>
        </w:rPr>
      </w:r>
      <w:r>
        <w:rPr>
          <w:position w:val="-24"/>
          <w:highlight w:val="none"/>
        </w:rPr>
      </w:r>
    </w:p>
    <w:p>
      <w:pPr>
        <w:ind w:left="283" w:right="170" w:firstLine="709"/>
        <w:jc w:val="center"/>
        <w:spacing w:after="0" w:afterAutospacing="0"/>
        <w:rPr>
          <w:position w:val="-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position w:val="-24"/>
        </w:rPr>
        <w:object w:dxaOrig="990" w:dyaOrig="61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9.95pt;height:31.00pt;mso-wrap-distance-left:0.00pt;mso-wrap-distance-top:0.00pt;mso-wrap-distance-right:0.00pt;mso-wrap-distance-bottom:0.00pt;rotation:0;" filled="f" stroked="f">
            <v:path textboxrect="0,0,0,0"/>
            <v:imagedata r:id="rId8" o:title=""/>
          </v:shape>
          <o:OLEObject DrawAspect="Content" r:id="rId9" ObjectID="_1525040" ProgID="Equation.3" ShapeID="_x0000_i0" Type="Embed"/>
        </w:objec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  РП - стоимость реализации продукции за год, тыс. руб.;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Ос - среднегодовая сумма оборотных средств.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Скорость оборота оборотных средств, То, дни, определяется по формуле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jc w:val="center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position w:val="-24"/>
        </w:rPr>
        <w:object w:dxaOrig="975" w:dyaOrig="61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49.00pt;height:31.00pt;mso-wrap-distance-left:0.00pt;mso-wrap-distance-top:0.00pt;mso-wrap-distance-right:0.00pt;mso-wrap-distance-bottom:0.00pt;rotation:0;" filled="f" stroked="f">
            <v:path textboxrect="0,0,0,0"/>
            <v:imagedata r:id="rId10" o:title=""/>
          </v:shape>
          <o:OLEObject DrawAspect="Content" r:id="rId11" ObjectID="_1525041" ProgID="Equation.3" ShapeID="_x0000_i1" Type="Embed"/>
        </w:objec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  360 - количество дней в финансовом году.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Среднегодовая стоимость оборотных средств, Он, рассчитывается делением на 12 половины суммы этих средств на 1 января планируемого года, следующего за ним, а также суммы оборотных средств на первое число остальных месяцев (или на первое число 2, 3 и 4 квар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тала) планируемого года: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position w:val="-24"/>
        </w:rPr>
        <w:object w:dxaOrig="2400" w:dyaOrig="90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120.00pt;height:45.00pt;mso-wrap-distance-left:0.00pt;mso-wrap-distance-top:0.00pt;mso-wrap-distance-right:0.00pt;mso-wrap-distance-bottom:0.00pt;rotation:0;" filled="f" stroked="f">
            <v:path textboxrect="0,0,0,0"/>
            <v:imagedata r:id="rId12" o:title=""/>
          </v:shape>
          <o:OLEObject DrawAspect="Content" r:id="rId13" ObjectID="_1525042" ProgID="Equation.3" ShapeID="_x0000_i2" Type="Embed"/>
        </w:objec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  </w:t>
      </w:r>
      <w:r>
        <w:rPr>
          <w:position w:val="-24"/>
        </w:rPr>
        <w:object w:dxaOrig="480" w:dyaOrig="61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24.00pt;height:31.00pt;mso-wrap-distance-left:0.00pt;mso-wrap-distance-top:0.00pt;mso-wrap-distance-right:0.00pt;mso-wrap-distance-bottom:0.00pt;rotation:0;" filled="f" stroked="f">
            <v:path textboxrect="0,0,0,0"/>
            <v:imagedata r:id="rId14" o:title=""/>
          </v:shape>
          <o:OLEObject DrawAspect="Content" r:id="rId15" ObjectID="_1525043" ProgID="Equation.3" ShapeID="_x0000_i3" Type="Embed"/>
        </w:objec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   - полусумма нормируемых оборотных средств на 1 января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планируемого года, тыс. руб.;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position w:val="-24"/>
        </w:rPr>
        <w:object w:dxaOrig="495" w:dyaOrig="61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24.95pt;height:31.00pt;mso-wrap-distance-left:0.00pt;mso-wrap-distance-top:0.00pt;mso-wrap-distance-right:0.00pt;mso-wrap-distance-bottom:0.00pt;rotation:0;" filled="f" stroked="f">
            <v:path textboxrect="0,0,0,0"/>
            <v:imagedata r:id="rId16" o:title=""/>
          </v:shape>
          <o:OLEObject DrawAspect="Content" r:id="rId17" ObjectID="_1525044" ProgID="Equation.3" ShapeID="_x0000_i4" Type="Embed"/>
        </w:object>
      </w: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 - полусумма нормируемых оборотных средств на 1 января года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следующего за планируемым, тыс. руб.;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Снм - сумма стоимости нормируемых оборотных средств (или на 1 число 2, 3 и 4 кварталов) планируемого года (кроме января).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Норматив оборотных средств определяется умножением суточного расхода данного вида оборотных средств в днях.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Суточный расход оборотных средств определяется делением годовой потребности в оборотных средствах на 360 (число дней в финансовом году).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Норматив оборотных средств для предприятия есть сумма оборотных средств по элементам.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- Вариант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№1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Объем реализации продукции на горном предприятии составил 11750000 рублей. Среднегодовая стоимость оборотных средств 903000 руб. Определить коэффициент оборачиваемости и среднюю продолжительность одного оборота оборотных средств.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№2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Объем реализации продукции по предприятию составил 26840000 рублей. Среднегодовая стоимость оборотных средств 2440000 руб. Определить коэффициент оборачиваемости, фондоемкость и среднюю продолжительность одного оборота оборотных средств.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Затраты на материалы за IV квартал составили 3000000 рублей, норма запаса материалов в днях 30дней. Определить норматив оборотных средств по материалам.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№4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отчетный год шахтой было реализовано 1230 тонны угля по цене 9,85рублей за килограмм. Средние квартальные остатки оборотных средств составили: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– 837400 руб,    III – 894500руб,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II – 858200 руб,   IV – 907100 руб.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Определить: 1) коэффициент оборачиваемости оборотных средств, 2)фондоемкость, 3) среднюю продолжительность одного оборота.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170" w:firstLine="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I - Вариант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170" w:firstLine="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№1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отчетном году предприятие реализовало продукцию на сумму 15634000 рублей. Среднегодовая стоимость оборотных средств составило 1270000рублей. Определить Среднюю продолжительность одного оборота.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№2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Объем реализации продукции по предприятию составил 26840000 рублей. Среднегодовая стоимость оборотных средств 2440000 руб. Определить коэффициент оборачиваемости, фондоемкость и среднюю продолжительность одного оборота оборотных средств.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Задача №3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Затраты на материалы за II квартал составили 4000000 рублей, норма запаса материалов в днях 31день. Определить норматив оборотных средств по материалам.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Задача №4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отчетный год шахтой было реализовано 1230 тонны угля по цене 9,85рублей за килограмм. Средние квартальные остатки оборотных средств составили: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 – 837400 руб,    III – 894500руб,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II – 858200 руб,   IV – 907100 руб.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Определить: 1) коэффициент оборачиваемости оборотных средств, 2)фондоемкость, 3) среднюю продолжительность одного оборота.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283" w:right="170" w:firstLine="720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oleObject" Target="embeddings/maskFile.bin"/><Relationship Id="rId10" Type="http://schemas.openxmlformats.org/officeDocument/2006/relationships/image" Target="media/image2.wmf"/><Relationship Id="rId11" Type="http://schemas.openxmlformats.org/officeDocument/2006/relationships/oleObject" Target="embeddings/maskFile.bin"/><Relationship Id="rId12" Type="http://schemas.openxmlformats.org/officeDocument/2006/relationships/image" Target="media/image3.wmf"/><Relationship Id="rId13" Type="http://schemas.openxmlformats.org/officeDocument/2006/relationships/oleObject" Target="embeddings/maskFile.bin"/><Relationship Id="rId14" Type="http://schemas.openxmlformats.org/officeDocument/2006/relationships/image" Target="media/image4.wmf"/><Relationship Id="rId15" Type="http://schemas.openxmlformats.org/officeDocument/2006/relationships/oleObject" Target="embeddings/maskFile.bin"/><Relationship Id="rId16" Type="http://schemas.openxmlformats.org/officeDocument/2006/relationships/image" Target="media/image5.wmf"/><Relationship Id="rId17" Type="http://schemas.openxmlformats.org/officeDocument/2006/relationships/oleObject" Target="embeddings/maskFile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2024-02-28T06:39:05Z</dcterms:modified>
</cp:coreProperties>
</file>