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C0" w:rsidRPr="00D060B7" w:rsidRDefault="00B75D82" w:rsidP="00B82BC0">
      <w:pPr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64187">
        <w:rPr>
          <w:rFonts w:ascii="Times New Roman" w:hAnsi="Times New Roman" w:cs="Times New Roman"/>
          <w:b/>
          <w:bCs/>
          <w:sz w:val="28"/>
          <w:szCs w:val="28"/>
        </w:rPr>
        <w:t>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60B7" w:rsidRPr="00D060B7">
        <w:rPr>
          <w:rFonts w:ascii="Times New Roman" w:hAnsi="Times New Roman" w:cs="Times New Roman"/>
          <w:b/>
          <w:bCs/>
          <w:sz w:val="24"/>
          <w:szCs w:val="24"/>
        </w:rPr>
        <w:t>Развитие кредитного дела в Российской Федерации</w:t>
      </w:r>
    </w:p>
    <w:p w:rsidR="00B75D82" w:rsidRPr="004B462E" w:rsidRDefault="00B75D82" w:rsidP="00195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D82" w:rsidRPr="005838C3" w:rsidRDefault="00364187" w:rsidP="00A1703A">
      <w:pPr>
        <w:jc w:val="both"/>
        <w:rPr>
          <w:rFonts w:ascii="Times New Roman" w:hAnsi="Times New Roman" w:cs="Times New Roman"/>
          <w:sz w:val="24"/>
          <w:szCs w:val="24"/>
        </w:rPr>
      </w:pPr>
      <w:r w:rsidRPr="005838C3">
        <w:rPr>
          <w:rFonts w:ascii="Times New Roman" w:hAnsi="Times New Roman" w:cs="Times New Roman"/>
          <w:b/>
          <w:sz w:val="24"/>
          <w:szCs w:val="24"/>
        </w:rPr>
        <w:t>Цель</w:t>
      </w:r>
      <w:r w:rsidRPr="005838C3">
        <w:rPr>
          <w:rFonts w:ascii="Times New Roman" w:hAnsi="Times New Roman" w:cs="Times New Roman"/>
          <w:sz w:val="24"/>
          <w:szCs w:val="24"/>
        </w:rPr>
        <w:t xml:space="preserve">: </w:t>
      </w:r>
      <w:r w:rsidR="00A1703A">
        <w:rPr>
          <w:rFonts w:ascii="Times New Roman" w:hAnsi="Times New Roman" w:cs="Times New Roman"/>
          <w:sz w:val="24"/>
          <w:szCs w:val="24"/>
        </w:rPr>
        <w:t>Р</w:t>
      </w:r>
      <w:r w:rsidR="00935F53">
        <w:rPr>
          <w:rFonts w:ascii="Times New Roman" w:hAnsi="Times New Roman" w:cs="Times New Roman"/>
          <w:sz w:val="24"/>
          <w:szCs w:val="24"/>
        </w:rPr>
        <w:t xml:space="preserve">ассмотреть </w:t>
      </w:r>
      <w:r w:rsidR="00EE749F">
        <w:rPr>
          <w:rFonts w:ascii="Times New Roman" w:hAnsi="Times New Roman" w:cs="Times New Roman"/>
          <w:sz w:val="24"/>
          <w:szCs w:val="24"/>
        </w:rPr>
        <w:t xml:space="preserve"> становление и развитие банковского дела в России</w:t>
      </w:r>
    </w:p>
    <w:p w:rsidR="00364187" w:rsidRDefault="005838C3" w:rsidP="005838C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A29C9" w:rsidRPr="005838C3" w:rsidRDefault="00FA29C9" w:rsidP="005838C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70C" w:rsidRDefault="005838C3" w:rsidP="00FA29C9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рассмотреть  </w:t>
      </w:r>
      <w:r w:rsidR="00EB41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возникновения и развития</w:t>
      </w:r>
      <w:r w:rsidR="0092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банковского дела в России;</w:t>
      </w:r>
    </w:p>
    <w:p w:rsidR="00E648E9" w:rsidRPr="00920133" w:rsidRDefault="00E648E9" w:rsidP="0092013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3CB7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920133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б</w:t>
      </w:r>
      <w:r w:rsidR="00920133" w:rsidRPr="006B5067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анковск</w:t>
      </w:r>
      <w:r w:rsidR="00920133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ое дело в дореволюционной России;</w:t>
      </w:r>
    </w:p>
    <w:p w:rsidR="00333CB7" w:rsidRPr="00C33BEE" w:rsidRDefault="00333CB7" w:rsidP="00C33BE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5F53">
        <w:rPr>
          <w:rFonts w:ascii="Times New Roman" w:hAnsi="Times New Roman" w:cs="Times New Roman"/>
          <w:sz w:val="24"/>
          <w:szCs w:val="24"/>
        </w:rPr>
        <w:t>рассмотреть</w:t>
      </w:r>
      <w:r w:rsidR="00C33BEE" w:rsidRPr="00C33BEE">
        <w:rPr>
          <w:rFonts w:ascii="Times New Roman" w:eastAsia="Times New Roman" w:hAnsi="Times New Roman" w:cs="Times New Roman"/>
          <w:b/>
          <w:bCs/>
          <w:color w:val="171D23"/>
          <w:sz w:val="24"/>
          <w:szCs w:val="24"/>
          <w:lang w:eastAsia="ru-RU"/>
        </w:rPr>
        <w:t xml:space="preserve"> </w:t>
      </w:r>
      <w:r w:rsidR="00C33BEE" w:rsidRPr="00C33BEE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о</w:t>
      </w:r>
      <w:r w:rsidR="00C33BEE" w:rsidRPr="009672F9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сновные предпосылки развития банковского дела</w:t>
      </w:r>
      <w:r w:rsidR="00C33BEE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;</w:t>
      </w:r>
    </w:p>
    <w:p w:rsidR="00B64BD8" w:rsidRDefault="00B64BD8" w:rsidP="00FA29C9">
      <w:pPr>
        <w:shd w:val="clear" w:color="auto" w:fill="FFFFFF"/>
        <w:spacing w:after="13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0F67">
        <w:rPr>
          <w:rFonts w:ascii="Times New Roman" w:hAnsi="Times New Roman" w:cs="Times New Roman"/>
          <w:sz w:val="24"/>
          <w:szCs w:val="24"/>
        </w:rPr>
        <w:t>рассмотрет</w:t>
      </w:r>
      <w:r w:rsidR="00935F53">
        <w:rPr>
          <w:rFonts w:ascii="Times New Roman" w:hAnsi="Times New Roman" w:cs="Times New Roman"/>
          <w:sz w:val="24"/>
          <w:szCs w:val="24"/>
        </w:rPr>
        <w:t xml:space="preserve">ь </w:t>
      </w:r>
      <w:r w:rsidR="007A2CF3">
        <w:rPr>
          <w:rFonts w:ascii="Times New Roman" w:hAnsi="Times New Roman" w:cs="Times New Roman"/>
          <w:sz w:val="24"/>
          <w:szCs w:val="24"/>
        </w:rPr>
        <w:t>советский период деятельности банков.</w:t>
      </w:r>
    </w:p>
    <w:p w:rsidR="00FA29C9" w:rsidRDefault="00FA29C9" w:rsidP="00C7608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010F1" w:rsidRDefault="00932D9E" w:rsidP="009672F9">
      <w:pPr>
        <w:spacing w:after="0" w:line="360" w:lineRule="auto"/>
        <w:jc w:val="both"/>
        <w:rPr>
          <w:rFonts w:ascii="Times New Roman" w:hAnsi="Times New Roman" w:cs="Times New Roman"/>
          <w:color w:val="171D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71D23"/>
          <w:sz w:val="24"/>
          <w:szCs w:val="24"/>
          <w:shd w:val="clear" w:color="auto" w:fill="FFFFFF"/>
        </w:rPr>
        <w:t xml:space="preserve">        </w:t>
      </w:r>
      <w:r w:rsidR="007010F1" w:rsidRPr="007010F1">
        <w:rPr>
          <w:rFonts w:ascii="Times New Roman" w:hAnsi="Times New Roman" w:cs="Times New Roman"/>
          <w:color w:val="171D23"/>
          <w:sz w:val="24"/>
          <w:szCs w:val="24"/>
          <w:shd w:val="clear" w:color="auto" w:fill="FFFFFF"/>
        </w:rPr>
        <w:t xml:space="preserve">В России банковское дело появилось в XVII веке. Первые купеческие кредитные организации функционировали в Пскове еще в далеком 1665 году. Во времена правления Анны Иоанновны выдача ссуд практиковалась под определенный процент, а в качестве кредитора выступал монетный двор. В 1754 году на основании указа Елизаветы Петровны </w:t>
      </w:r>
      <w:r w:rsidR="007010F1" w:rsidRPr="006B5067">
        <w:rPr>
          <w:rFonts w:ascii="Times New Roman" w:hAnsi="Times New Roman" w:cs="Times New Roman"/>
          <w:color w:val="171D23"/>
          <w:sz w:val="24"/>
          <w:szCs w:val="24"/>
          <w:shd w:val="clear" w:color="auto" w:fill="FFFFFF"/>
        </w:rPr>
        <w:t>в России появляются первые кредитные учреждения – Купеческий банк в Петербурге, а также Дворянские заемные банки в обеих столицах.</w:t>
      </w:r>
      <w:r w:rsidR="007A2CF3">
        <w:rPr>
          <w:rFonts w:ascii="Times New Roman" w:hAnsi="Times New Roman" w:cs="Times New Roman"/>
          <w:color w:val="171D23"/>
          <w:sz w:val="24"/>
          <w:szCs w:val="24"/>
          <w:shd w:val="clear" w:color="auto" w:fill="FFFFFF"/>
        </w:rPr>
        <w:t xml:space="preserve"> Первый частный банк представлен на рисунке</w:t>
      </w:r>
    </w:p>
    <w:p w:rsidR="007A2CF3" w:rsidRPr="006B5067" w:rsidRDefault="007A2CF3" w:rsidP="00D90F19">
      <w:pPr>
        <w:spacing w:after="0" w:line="360" w:lineRule="auto"/>
        <w:jc w:val="center"/>
        <w:rPr>
          <w:rFonts w:ascii="Times New Roman" w:hAnsi="Times New Roman" w:cs="Times New Roman"/>
          <w:color w:val="171D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71D2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686300" cy="2181225"/>
            <wp:effectExtent l="19050" t="0" r="0" b="0"/>
            <wp:docPr id="3" name="Рисунок 2" descr="15a57852c80f3fac493f3f0613dd3f0895fa47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a57852c80f3fac493f3f0613dd3f0895fa477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289" cy="218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067" w:rsidRPr="006B5067" w:rsidRDefault="00932D9E" w:rsidP="009672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       </w:t>
      </w:r>
      <w:r w:rsidR="006B5067" w:rsidRPr="006B5067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Развитие банковского дела в России ознаменовалось не столь скорыми и целеустремленными темпами развития, как в основной части европейских государств. По этапам развития делиться на банковские системы Царской России, советскую и современную. Известно, что во времена Царской России существовало ряд запретов, в том числе под страхом казни, по выдаче кредитных средств и их принятию среди населения, чтобы не способствовать разрастанию бедности, поэтому в стране осталось ментальное свойство заимствования недостающих средств без комиссий среди знакомых и близких </w:t>
      </w:r>
      <w:r w:rsidR="006B5067" w:rsidRPr="006B5067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lastRenderedPageBreak/>
        <w:t>людей без обращения к посредникам. Процесс развития банков как отрасли пришелся уже на период отмены крепостного права, нарастая упущенный за годы потенциал.</w:t>
      </w:r>
    </w:p>
    <w:p w:rsidR="006B5067" w:rsidRPr="006B5067" w:rsidRDefault="006B5067" w:rsidP="009672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 w:rsidRPr="006B5067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В советское время произошла национализация всех предприятий, банков в том числе, с образование Госбанка. В постсоветский период банковская система России претерпела ряд сложнейших этапов реформирования.</w:t>
      </w:r>
    </w:p>
    <w:p w:rsidR="006B5067" w:rsidRPr="006B5067" w:rsidRDefault="006B5067" w:rsidP="00920133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sz w:val="24"/>
          <w:szCs w:val="24"/>
          <w:lang w:eastAsia="ru-RU"/>
        </w:rPr>
      </w:pPr>
      <w:r w:rsidRPr="006B5067">
        <w:rPr>
          <w:rFonts w:ascii="Times New Roman" w:eastAsia="Times New Roman" w:hAnsi="Times New Roman" w:cs="Times New Roman"/>
          <w:b/>
          <w:bCs/>
          <w:color w:val="171D23"/>
          <w:sz w:val="24"/>
          <w:szCs w:val="24"/>
          <w:lang w:eastAsia="ru-RU"/>
        </w:rPr>
        <w:t>Банковское дело в дореволюционной России</w:t>
      </w:r>
    </w:p>
    <w:p w:rsidR="006B5067" w:rsidRPr="006B5067" w:rsidRDefault="00920133" w:rsidP="009672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      </w:t>
      </w:r>
      <w:r w:rsidR="006B5067" w:rsidRPr="006B5067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С развитием капитализма банковская система России сформировалась по типу европейской, разделившись на банки, принадлежащие государству, частные компании и иностранные предприятия. Госбанку была подчинена основная масса акционерных банков, государство не допускало никому занять ведущую роль в обозначенной сфере. Основная доля средств пребывала в столице и крупных городах. В зависимости от сословия человека он мог обратиться в банк своего уровня – иерархия банков процветала. Иностранные компании насчитывали немецкий и французский капитал.</w:t>
      </w:r>
    </w:p>
    <w:p w:rsidR="006B5067" w:rsidRDefault="006B5067" w:rsidP="009672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 w:rsidRPr="006B5067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Банковское дело в дореволюционной России процветало на основе привлеченных средств вкладчиков, чаще всего юридических лиц, и ссуд, выданных под векселя, залог товаров, квитанций, ценных бумаг и иных документов. Большую долю ссудного капитала (близко 60%) приносили залоговые займы под акции и облигации.</w:t>
      </w:r>
      <w:r w:rsidR="004851A0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Банкирские династии дореволюционной России представлены на рисунке. </w:t>
      </w:r>
    </w:p>
    <w:p w:rsidR="009A5625" w:rsidRPr="009672F9" w:rsidRDefault="009A5625" w:rsidP="004851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71D23"/>
          <w:sz w:val="24"/>
          <w:szCs w:val="24"/>
          <w:lang w:eastAsia="ru-RU"/>
        </w:rPr>
        <w:drawing>
          <wp:inline distT="0" distB="0" distL="0" distR="0">
            <wp:extent cx="3657600" cy="2752725"/>
            <wp:effectExtent l="19050" t="0" r="0" b="0"/>
            <wp:docPr id="4" name="Рисунок 3" descr="20cf8672-3b1f-11ed-a89d-166a73e36140.384x2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cf8672-3b1f-11ed-a89d-166a73e36140.384x28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2F9" w:rsidRPr="009672F9" w:rsidRDefault="009672F9" w:rsidP="00C33BE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sz w:val="24"/>
          <w:szCs w:val="24"/>
          <w:lang w:eastAsia="ru-RU"/>
        </w:rPr>
      </w:pPr>
      <w:r w:rsidRPr="009672F9">
        <w:rPr>
          <w:rFonts w:ascii="Times New Roman" w:eastAsia="Times New Roman" w:hAnsi="Times New Roman" w:cs="Times New Roman"/>
          <w:b/>
          <w:bCs/>
          <w:color w:val="171D23"/>
          <w:sz w:val="24"/>
          <w:szCs w:val="24"/>
          <w:lang w:eastAsia="ru-RU"/>
        </w:rPr>
        <w:t>Основные предпосылки развития банковского дела</w:t>
      </w:r>
    </w:p>
    <w:p w:rsidR="009672F9" w:rsidRPr="009672F9" w:rsidRDefault="00C33BEE" w:rsidP="009672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      </w:t>
      </w:r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Основные предпосылки развития банковского дела еще до новой эры появились с развитием кредитно-денежной системы, ее популяризацией и созданием дополнительных возможностей. Так, Предпосылкой развития банковских отр</w:t>
      </w:r>
      <w:r w:rsidR="004D7122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аслей кредитования </w:t>
      </w:r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стало появление кредиторов и заемщиков, становления </w:t>
      </w:r>
      <w:proofErr w:type="spellStart"/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валютообменных</w:t>
      </w:r>
      <w:proofErr w:type="spellEnd"/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операций – </w:t>
      </w:r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lastRenderedPageBreak/>
        <w:t>зарождение обменных лавок, специализирующихся на размене монет или полноценном обмене денег других государств, кочующих вместе с торговцами.</w:t>
      </w:r>
    </w:p>
    <w:p w:rsidR="009672F9" w:rsidRDefault="00C33BEE" w:rsidP="00C33B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В 17</w:t>
      </w:r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веке стало ясно, что банковская структура станет мощнейшим экономическим инструментом ввиду уже сформировавшихся предпосылок глобализации отрасли в мире. Мировые товарные рынки, появление экономических притязаний со стороны разных государств, сложности ведения деятельности на территориях других стран – обозначенные факторы способствовали созданию мирового банковского дела.</w:t>
      </w:r>
      <w:r w:rsidR="00235CE1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Предпосылки развития банковского дела на рисунке. </w:t>
      </w:r>
    </w:p>
    <w:p w:rsidR="00235CE1" w:rsidRPr="009672F9" w:rsidRDefault="00235CE1" w:rsidP="00C33B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71D23"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5" name="Рисунок 4" descr="slide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2F9" w:rsidRPr="009672F9" w:rsidRDefault="009672F9" w:rsidP="00C33BE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D23"/>
          <w:sz w:val="24"/>
          <w:szCs w:val="24"/>
          <w:lang w:eastAsia="ru-RU"/>
        </w:rPr>
      </w:pPr>
      <w:r w:rsidRPr="009672F9">
        <w:rPr>
          <w:rFonts w:ascii="Times New Roman" w:eastAsia="Times New Roman" w:hAnsi="Times New Roman" w:cs="Times New Roman"/>
          <w:b/>
          <w:bCs/>
          <w:color w:val="171D23"/>
          <w:sz w:val="24"/>
          <w:szCs w:val="24"/>
          <w:lang w:eastAsia="ru-RU"/>
        </w:rPr>
        <w:t>Советский период деятельности банков</w:t>
      </w:r>
    </w:p>
    <w:p w:rsidR="009672F9" w:rsidRPr="009672F9" w:rsidRDefault="00C33BEE" w:rsidP="009672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   </w:t>
      </w:r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Советский период деятельности банков характеризовался полной централизацией и национализацией банков. Командно-административный аппарат предполагал наличие одноуровневой банковской структуры, именуемой Госбанком (или Народным банком). Все банки стали собственностью государства, управляя территориально средствами предприятий и частных лиц.</w:t>
      </w:r>
    </w:p>
    <w:p w:rsidR="009672F9" w:rsidRDefault="007226E8" w:rsidP="009672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        </w:t>
      </w:r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Госбанк занимался выпуском денег, выдавал </w:t>
      </w:r>
      <w:hyperlink r:id="rId8" w:history="1">
        <w:r w:rsidR="009672F9" w:rsidRPr="00C33BEE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кредиты</w:t>
        </w:r>
      </w:hyperlink>
      <w:r w:rsidR="009672F9" w:rsidRPr="009672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не</w:t>
      </w:r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большие сроки, выполнял РКО. Долгосрочные кредиты получали юридические лица от организации Стройбанк СССР. Вклады частных лиц были переданы Государственным трудовым сберегательным кассам СССР. Вскоре система была признана менее успешной, нежели в странах с </w:t>
      </w:r>
      <w:r w:rsidR="009672F9" w:rsidRPr="009672F9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lastRenderedPageBreak/>
        <w:t>рыночной экономикой, став предпосылкой в изменении курса развития кредитной системы страны.</w:t>
      </w:r>
      <w:r w:rsidR="00405814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 Советские сберкассы представлены на рисунке. </w:t>
      </w:r>
    </w:p>
    <w:p w:rsidR="00405814" w:rsidRPr="009672F9" w:rsidRDefault="00405814" w:rsidP="009672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71D23"/>
          <w:sz w:val="24"/>
          <w:szCs w:val="24"/>
          <w:lang w:eastAsia="ru-RU"/>
        </w:rPr>
        <w:drawing>
          <wp:inline distT="0" distB="0" distL="0" distR="0">
            <wp:extent cx="5940425" cy="3338195"/>
            <wp:effectExtent l="19050" t="0" r="3175" b="0"/>
            <wp:docPr id="6" name="Рисунок 5" descr="KOG_001005_00002_2_t218_19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G_001005_00002_2_t218_19373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0F1" w:rsidRDefault="007010F1" w:rsidP="00C7608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010F1" w:rsidRPr="001859B7" w:rsidRDefault="007010F1" w:rsidP="00C7608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34D8" w:rsidRDefault="00195692" w:rsidP="00195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692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  <w:r w:rsidR="00A334D8">
        <w:rPr>
          <w:rFonts w:ascii="Times New Roman" w:hAnsi="Times New Roman" w:cs="Times New Roman"/>
          <w:b/>
          <w:sz w:val="24"/>
          <w:szCs w:val="24"/>
        </w:rPr>
        <w:t>:</w:t>
      </w:r>
    </w:p>
    <w:p w:rsidR="009D6FED" w:rsidRPr="009D6FED" w:rsidRDefault="00A334D8" w:rsidP="009D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4D8">
        <w:rPr>
          <w:rFonts w:ascii="Times New Roman" w:hAnsi="Times New Roman" w:cs="Times New Roman"/>
          <w:sz w:val="24"/>
          <w:szCs w:val="24"/>
        </w:rPr>
        <w:t>1.</w:t>
      </w:r>
      <w:r w:rsidR="00195692" w:rsidRPr="00A334D8">
        <w:rPr>
          <w:rFonts w:ascii="Times New Roman" w:hAnsi="Times New Roman" w:cs="Times New Roman"/>
          <w:sz w:val="24"/>
          <w:szCs w:val="24"/>
        </w:rPr>
        <w:t xml:space="preserve"> </w:t>
      </w:r>
      <w:r w:rsidR="00445C66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="00935F53">
        <w:rPr>
          <w:rFonts w:ascii="Times New Roman" w:hAnsi="Times New Roman" w:cs="Times New Roman"/>
          <w:sz w:val="24"/>
          <w:szCs w:val="24"/>
        </w:rPr>
        <w:t xml:space="preserve"> </w:t>
      </w:r>
      <w:r w:rsidR="00445C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возникновения и развития банковского дела в России.</w:t>
      </w:r>
    </w:p>
    <w:p w:rsidR="009D6FED" w:rsidRPr="009D6FED" w:rsidRDefault="009D6FED" w:rsidP="009D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D6FED">
        <w:rPr>
          <w:rFonts w:ascii="Times New Roman" w:hAnsi="Times New Roman" w:cs="Times New Roman"/>
          <w:sz w:val="24"/>
          <w:szCs w:val="24"/>
        </w:rPr>
        <w:t xml:space="preserve"> </w:t>
      </w:r>
      <w:r w:rsidR="00455C0F">
        <w:rPr>
          <w:rFonts w:ascii="Times New Roman" w:hAnsi="Times New Roman" w:cs="Times New Roman"/>
          <w:sz w:val="24"/>
          <w:szCs w:val="24"/>
        </w:rPr>
        <w:t>О</w:t>
      </w:r>
      <w:r w:rsidRPr="009D6FED">
        <w:rPr>
          <w:rFonts w:ascii="Times New Roman" w:hAnsi="Times New Roman" w:cs="Times New Roman"/>
          <w:sz w:val="24"/>
          <w:szCs w:val="24"/>
        </w:rPr>
        <w:t>характериз</w:t>
      </w:r>
      <w:r w:rsidR="00935F53">
        <w:rPr>
          <w:rFonts w:ascii="Times New Roman" w:hAnsi="Times New Roman" w:cs="Times New Roman"/>
          <w:sz w:val="24"/>
          <w:szCs w:val="24"/>
        </w:rPr>
        <w:t>уйте</w:t>
      </w:r>
      <w:r w:rsidR="00445C66" w:rsidRPr="00445C66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 xml:space="preserve"> </w:t>
      </w:r>
      <w:r w:rsidR="00445C66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б</w:t>
      </w:r>
      <w:r w:rsidR="00445C66" w:rsidRPr="006B5067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анковск</w:t>
      </w:r>
      <w:r w:rsidR="00445C66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ое дело в дореволюционной России.</w:t>
      </w:r>
    </w:p>
    <w:p w:rsidR="009D6FED" w:rsidRDefault="00935F53" w:rsidP="009D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Назовите </w:t>
      </w:r>
      <w:r w:rsidR="00843B28" w:rsidRPr="00C33BEE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о</w:t>
      </w:r>
      <w:r w:rsidR="00843B28" w:rsidRPr="009672F9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сновные предпосылки развития банковского дела</w:t>
      </w:r>
      <w:r w:rsidR="00843B28">
        <w:rPr>
          <w:rFonts w:ascii="Times New Roman" w:eastAsia="Times New Roman" w:hAnsi="Times New Roman" w:cs="Times New Roman"/>
          <w:bCs/>
          <w:color w:val="171D23"/>
          <w:sz w:val="24"/>
          <w:szCs w:val="24"/>
          <w:lang w:eastAsia="ru-RU"/>
        </w:rPr>
        <w:t>.</w:t>
      </w:r>
    </w:p>
    <w:p w:rsidR="009D6FED" w:rsidRDefault="00843B28" w:rsidP="009D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Охарактеризуйте советский период деятельности банков</w:t>
      </w:r>
    </w:p>
    <w:p w:rsidR="00FA29C9" w:rsidRPr="001A4F93" w:rsidRDefault="00FA29C9" w:rsidP="00FA29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843FC4" w:rsidRPr="00A078CD" w:rsidRDefault="00843FC4" w:rsidP="00A078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3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276B19" w:rsidRDefault="00276B19" w:rsidP="00843FC4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76B19" w:rsidRPr="00276B19" w:rsidRDefault="00276B19" w:rsidP="00276B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Тян Н. С. Деньги, кредит, банки : практикум / Н. С. </w:t>
      </w:r>
      <w:proofErr w:type="spellStart"/>
      <w:r w:rsidRPr="00276B19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</w:t>
      </w:r>
      <w:proofErr w:type="spellEnd"/>
      <w:r w:rsidRPr="002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В. Анохин. — Новосибирск : Новосибирский государственный университет экономики и управления «НИНХ», 2018. — 122 c. — ISBN 978-5-7014-0881-2. Электронно-библиотечная система IPR BOOKS : [сайт]. — URL: http://www.iprbookshop.ru/76925.html </w:t>
      </w:r>
    </w:p>
    <w:p w:rsidR="00276B19" w:rsidRPr="00276B19" w:rsidRDefault="00276B19" w:rsidP="00276B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Строгонова Е. И. Финансы : учебное пособие для обучающихся по направлению подготовки «Экономика» / Е. И. Строгонова. — Краснодар, Саратов : Южный институт менеджмента, Ай Пи Эр Медиа, 2018. — 86 c. — ISBN 2227-8397: электронный //Электронно-библиотечная система IPR BOOKS: [сайт]. — URL: http://www.iprbookshop.ru/76925.html </w:t>
      </w:r>
    </w:p>
    <w:p w:rsidR="00276B19" w:rsidRPr="00276B19" w:rsidRDefault="00276B19" w:rsidP="00276B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Ермоленко О. М. Деньги. Кредит. Банки : учебное пособие для обучающихся по направлению подготовки бакалавриата «Экономика» / О. М. Ермоленко. — Краснодар, Саратов : Южный институт менеджмента, Ай Пи Эр Медиа, 2018. — 94 c. — ISBN 978-5-93926-314-6: электронный // Электронно-библиотечная система IPR BOOKS : [сайт]. — URL: </w:t>
      </w:r>
      <w:hyperlink r:id="rId10" w:history="1">
        <w:r w:rsidRPr="00276B19">
          <w:rPr>
            <w:rFonts w:ascii="Times New Roman" w:eastAsia="Times New Roman" w:hAnsi="Times New Roman" w:cs="Times New Roman"/>
            <w:color w:val="19799A"/>
            <w:sz w:val="24"/>
            <w:szCs w:val="24"/>
            <w:u w:val="single"/>
            <w:lang w:eastAsia="ru-RU"/>
          </w:rPr>
          <w:t>http://www.iprbookshop.ru/78029.html</w:t>
        </w:r>
      </w:hyperlink>
      <w:r w:rsidRPr="002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6B19" w:rsidRDefault="00276B19" w:rsidP="00276B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Строгонова Е. И. Финансы и кредит : учебное пособие для обучающихся по направлению подготовки бакалавриата «Менеджмент» / Е. И. Строгонова. — Краснодар, Саратов : Южный институт менеджмента, Ай Пи Эр Медиа, 2018. — 88 c. — ISBN 978-5-93926-316-0: электронный // Электронно-библиотечная система IPR BOOKS : [сайт]. — URL: http://www.iprbookshop.ru/78049.html </w:t>
      </w:r>
    </w:p>
    <w:p w:rsidR="00276B19" w:rsidRDefault="00276B19" w:rsidP="00276B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Поляк Г.Б. Финансы, денежное обращение и кредит : учебник и практикум для СПО /  под редакцией Поляк Г.Б. — М. : Издательство </w:t>
      </w:r>
      <w:proofErr w:type="spellStart"/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2015 г. — 329 с.</w:t>
      </w:r>
    </w:p>
    <w:p w:rsidR="00276B19" w:rsidRPr="00276B19" w:rsidRDefault="00276B19" w:rsidP="00276B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proofErr w:type="spellStart"/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Перекрестова</w:t>
      </w:r>
      <w:proofErr w:type="spellEnd"/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Л.А. Финансы и кредит : учебник для СПО /  под редакцией </w:t>
      </w:r>
      <w:proofErr w:type="spellStart"/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Перекрестовой</w:t>
      </w:r>
      <w:proofErr w:type="spellEnd"/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Л.А. — М. : Издательство </w:t>
      </w:r>
      <w:proofErr w:type="spellStart"/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27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2015 г. — 250 с.</w:t>
      </w:r>
    </w:p>
    <w:p w:rsidR="00276B19" w:rsidRPr="00276B19" w:rsidRDefault="00276B19" w:rsidP="0027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A0D" w:rsidRPr="00276B19" w:rsidRDefault="00F85A0D" w:rsidP="00276B19">
      <w:pPr>
        <w:rPr>
          <w:rFonts w:ascii="Times New Roman" w:hAnsi="Times New Roman" w:cs="Times New Roman"/>
          <w:sz w:val="24"/>
          <w:szCs w:val="24"/>
        </w:rPr>
      </w:pPr>
    </w:p>
    <w:sectPr w:rsidR="00F85A0D" w:rsidRPr="00276B19" w:rsidSect="0000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EAD"/>
    <w:multiLevelType w:val="multilevel"/>
    <w:tmpl w:val="60C0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70627"/>
    <w:multiLevelType w:val="multilevel"/>
    <w:tmpl w:val="68F6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01EAB"/>
    <w:multiLevelType w:val="hybridMultilevel"/>
    <w:tmpl w:val="E710D9E2"/>
    <w:lvl w:ilvl="0" w:tplc="29864858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1BC2"/>
    <w:multiLevelType w:val="multilevel"/>
    <w:tmpl w:val="185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0520B"/>
    <w:multiLevelType w:val="multilevel"/>
    <w:tmpl w:val="508E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A7A7A"/>
    <w:multiLevelType w:val="hybridMultilevel"/>
    <w:tmpl w:val="B8E6E5FC"/>
    <w:lvl w:ilvl="0" w:tplc="808C0B7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60492C7E"/>
    <w:multiLevelType w:val="multilevel"/>
    <w:tmpl w:val="149037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7">
    <w:nsid w:val="60876410"/>
    <w:multiLevelType w:val="hybridMultilevel"/>
    <w:tmpl w:val="1BC223EA"/>
    <w:lvl w:ilvl="0" w:tplc="134A7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42773A"/>
    <w:multiLevelType w:val="hybridMultilevel"/>
    <w:tmpl w:val="608C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B2D1E"/>
    <w:multiLevelType w:val="hybridMultilevel"/>
    <w:tmpl w:val="73C4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F46E9"/>
    <w:multiLevelType w:val="multilevel"/>
    <w:tmpl w:val="1B2E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5D82"/>
    <w:rsid w:val="00006981"/>
    <w:rsid w:val="00014D61"/>
    <w:rsid w:val="00027CDB"/>
    <w:rsid w:val="000307E2"/>
    <w:rsid w:val="0005734F"/>
    <w:rsid w:val="00063BD3"/>
    <w:rsid w:val="000A0179"/>
    <w:rsid w:val="000D2382"/>
    <w:rsid w:val="000F1822"/>
    <w:rsid w:val="001859B7"/>
    <w:rsid w:val="00195692"/>
    <w:rsid w:val="001A1AFF"/>
    <w:rsid w:val="001A4F93"/>
    <w:rsid w:val="001B373B"/>
    <w:rsid w:val="001E7A21"/>
    <w:rsid w:val="00211224"/>
    <w:rsid w:val="00235CE1"/>
    <w:rsid w:val="0025267F"/>
    <w:rsid w:val="00276B19"/>
    <w:rsid w:val="002C035D"/>
    <w:rsid w:val="002C0AE3"/>
    <w:rsid w:val="002D2963"/>
    <w:rsid w:val="002E3395"/>
    <w:rsid w:val="00307EB2"/>
    <w:rsid w:val="00310BBB"/>
    <w:rsid w:val="003177E3"/>
    <w:rsid w:val="00333CB7"/>
    <w:rsid w:val="00364187"/>
    <w:rsid w:val="003F078B"/>
    <w:rsid w:val="003F391E"/>
    <w:rsid w:val="00405814"/>
    <w:rsid w:val="004224CB"/>
    <w:rsid w:val="00430F11"/>
    <w:rsid w:val="00445C66"/>
    <w:rsid w:val="00455C0F"/>
    <w:rsid w:val="00464A5B"/>
    <w:rsid w:val="00484B6C"/>
    <w:rsid w:val="004851A0"/>
    <w:rsid w:val="00485B7C"/>
    <w:rsid w:val="004B462E"/>
    <w:rsid w:val="004D7122"/>
    <w:rsid w:val="00500C18"/>
    <w:rsid w:val="00521C14"/>
    <w:rsid w:val="00531E30"/>
    <w:rsid w:val="005744DE"/>
    <w:rsid w:val="005838B0"/>
    <w:rsid w:val="005838C3"/>
    <w:rsid w:val="00597C25"/>
    <w:rsid w:val="005D76E3"/>
    <w:rsid w:val="00612C25"/>
    <w:rsid w:val="00614E48"/>
    <w:rsid w:val="0063643E"/>
    <w:rsid w:val="00662F35"/>
    <w:rsid w:val="006664BB"/>
    <w:rsid w:val="00666904"/>
    <w:rsid w:val="006B5067"/>
    <w:rsid w:val="006F215B"/>
    <w:rsid w:val="007010F1"/>
    <w:rsid w:val="00703C4D"/>
    <w:rsid w:val="00706FDB"/>
    <w:rsid w:val="007147D1"/>
    <w:rsid w:val="007226E8"/>
    <w:rsid w:val="00747C20"/>
    <w:rsid w:val="00756EAC"/>
    <w:rsid w:val="00762BB3"/>
    <w:rsid w:val="007A2CF3"/>
    <w:rsid w:val="007B1A1F"/>
    <w:rsid w:val="007D68B6"/>
    <w:rsid w:val="007E6C7F"/>
    <w:rsid w:val="00800F67"/>
    <w:rsid w:val="00806CF8"/>
    <w:rsid w:val="00817847"/>
    <w:rsid w:val="00843B28"/>
    <w:rsid w:val="00843FC4"/>
    <w:rsid w:val="0086748F"/>
    <w:rsid w:val="008B14B0"/>
    <w:rsid w:val="008C5D93"/>
    <w:rsid w:val="008D7247"/>
    <w:rsid w:val="009015EC"/>
    <w:rsid w:val="00915C43"/>
    <w:rsid w:val="00920133"/>
    <w:rsid w:val="0092642D"/>
    <w:rsid w:val="00932D9E"/>
    <w:rsid w:val="00935F53"/>
    <w:rsid w:val="0096424D"/>
    <w:rsid w:val="009672F9"/>
    <w:rsid w:val="009A5625"/>
    <w:rsid w:val="009B44D8"/>
    <w:rsid w:val="009D6FED"/>
    <w:rsid w:val="00A078CD"/>
    <w:rsid w:val="00A1703A"/>
    <w:rsid w:val="00A32B09"/>
    <w:rsid w:val="00A334D8"/>
    <w:rsid w:val="00A525C8"/>
    <w:rsid w:val="00A70B34"/>
    <w:rsid w:val="00AC0576"/>
    <w:rsid w:val="00AF16CB"/>
    <w:rsid w:val="00AF1763"/>
    <w:rsid w:val="00B031BD"/>
    <w:rsid w:val="00B42B2A"/>
    <w:rsid w:val="00B64BD8"/>
    <w:rsid w:val="00B75D82"/>
    <w:rsid w:val="00B82BC0"/>
    <w:rsid w:val="00B9770C"/>
    <w:rsid w:val="00C17A19"/>
    <w:rsid w:val="00C33BEE"/>
    <w:rsid w:val="00C47E76"/>
    <w:rsid w:val="00C7608F"/>
    <w:rsid w:val="00C81AE5"/>
    <w:rsid w:val="00C835C5"/>
    <w:rsid w:val="00C87A83"/>
    <w:rsid w:val="00C95B9C"/>
    <w:rsid w:val="00CA3F48"/>
    <w:rsid w:val="00CB6A9D"/>
    <w:rsid w:val="00D0015C"/>
    <w:rsid w:val="00D060B7"/>
    <w:rsid w:val="00D11510"/>
    <w:rsid w:val="00D1273D"/>
    <w:rsid w:val="00D41D25"/>
    <w:rsid w:val="00D65321"/>
    <w:rsid w:val="00D7343D"/>
    <w:rsid w:val="00D85D90"/>
    <w:rsid w:val="00D90F19"/>
    <w:rsid w:val="00D91735"/>
    <w:rsid w:val="00DA4AF8"/>
    <w:rsid w:val="00DE7B3F"/>
    <w:rsid w:val="00E04D7B"/>
    <w:rsid w:val="00E52369"/>
    <w:rsid w:val="00E564FA"/>
    <w:rsid w:val="00E648E9"/>
    <w:rsid w:val="00EB4162"/>
    <w:rsid w:val="00EE63B3"/>
    <w:rsid w:val="00EE749F"/>
    <w:rsid w:val="00F13458"/>
    <w:rsid w:val="00F479FF"/>
    <w:rsid w:val="00F85A0D"/>
    <w:rsid w:val="00F85F96"/>
    <w:rsid w:val="00FA27D3"/>
    <w:rsid w:val="00FA29C9"/>
    <w:rsid w:val="00FB4996"/>
    <w:rsid w:val="00FD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81"/>
  </w:style>
  <w:style w:type="paragraph" w:styleId="2">
    <w:name w:val="heading 2"/>
    <w:basedOn w:val="a"/>
    <w:link w:val="20"/>
    <w:uiPriority w:val="9"/>
    <w:qFormat/>
    <w:rsid w:val="00B75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B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E7B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0B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67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avni.ru/kred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78029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delihovskaja</dc:creator>
  <cp:keywords/>
  <dc:description/>
  <cp:lastModifiedBy>delihovskaja</cp:lastModifiedBy>
  <cp:revision>130</cp:revision>
  <dcterms:created xsi:type="dcterms:W3CDTF">2020-11-12T11:00:00Z</dcterms:created>
  <dcterms:modified xsi:type="dcterms:W3CDTF">2024-03-04T05:05:00Z</dcterms:modified>
</cp:coreProperties>
</file>